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B6D6" w14:textId="70784B64" w:rsidR="00ED3C3D" w:rsidRPr="009B7F7E" w:rsidRDefault="00ED3C3D" w:rsidP="009B7F7E">
      <w:pPr>
        <w:pStyle w:val="Heading2"/>
        <w:rPr>
          <w:rFonts w:ascii="Verdana" w:hAnsi="Verdana"/>
          <w:sz w:val="32"/>
          <w:szCs w:val="32"/>
        </w:rPr>
      </w:pPr>
    </w:p>
    <w:tbl>
      <w:tblPr>
        <w:tblpPr w:leftFromText="180" w:rightFromText="180" w:bottomFromText="200" w:vertAnchor="text" w:horzAnchor="margin" w:tblpXSpec="center" w:tblpY="39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1980"/>
        <w:gridCol w:w="2268"/>
        <w:gridCol w:w="1701"/>
        <w:gridCol w:w="1701"/>
        <w:gridCol w:w="1989"/>
      </w:tblGrid>
      <w:tr w:rsidR="007E29A7" w14:paraId="0E8AFEE6" w14:textId="77777777" w:rsidTr="007E29A7">
        <w:trPr>
          <w:trHeight w:val="534"/>
        </w:trPr>
        <w:tc>
          <w:tcPr>
            <w:tcW w:w="9639" w:type="dxa"/>
            <w:gridSpan w:val="5"/>
            <w:tcBorders>
              <w:top w:val="single" w:sz="4" w:space="0" w:color="auto"/>
              <w:left w:val="single" w:sz="4" w:space="0" w:color="auto"/>
              <w:bottom w:val="single" w:sz="4" w:space="0" w:color="auto"/>
              <w:right w:val="single" w:sz="4" w:space="0" w:color="auto"/>
            </w:tcBorders>
            <w:hideMark/>
          </w:tcPr>
          <w:p w14:paraId="064B0FBB" w14:textId="77777777" w:rsidR="007E29A7" w:rsidRDefault="007E29A7" w:rsidP="008D7870">
            <w:pPr>
              <w:spacing w:after="160" w:line="256" w:lineRule="auto"/>
              <w:contextualSpacing/>
              <w:jc w:val="center"/>
              <w:rPr>
                <w:rFonts w:ascii="Verdana" w:eastAsiaTheme="minorHAnsi" w:hAnsi="Verdana"/>
                <w:sz w:val="32"/>
                <w:szCs w:val="28"/>
              </w:rPr>
            </w:pPr>
            <w:bookmarkStart w:id="0" w:name="_Hlk510175772"/>
            <w:r>
              <w:rPr>
                <w:rFonts w:ascii="Verdana" w:hAnsi="Verdana"/>
                <w:sz w:val="32"/>
                <w:szCs w:val="28"/>
              </w:rPr>
              <w:t>British Motor Industry Heritage Trust</w:t>
            </w:r>
            <w:bookmarkEnd w:id="0"/>
          </w:p>
          <w:p w14:paraId="08A72033" w14:textId="77777777" w:rsidR="007E29A7" w:rsidRDefault="00047D5F" w:rsidP="008D7870">
            <w:pPr>
              <w:spacing w:after="160" w:line="256" w:lineRule="auto"/>
              <w:contextualSpacing/>
              <w:jc w:val="center"/>
              <w:rPr>
                <w:rFonts w:ascii="Verdana" w:hAnsi="Verdana"/>
                <w:sz w:val="32"/>
                <w:szCs w:val="28"/>
              </w:rPr>
            </w:pPr>
            <w:r>
              <w:rPr>
                <w:rFonts w:ascii="Verdana" w:hAnsi="Verdana"/>
                <w:sz w:val="32"/>
                <w:szCs w:val="28"/>
              </w:rPr>
              <w:t>Environmental</w:t>
            </w:r>
            <w:r w:rsidR="00915025">
              <w:rPr>
                <w:rFonts w:ascii="Verdana" w:hAnsi="Verdana"/>
                <w:sz w:val="32"/>
                <w:szCs w:val="28"/>
              </w:rPr>
              <w:t xml:space="preserve"> Policy</w:t>
            </w:r>
          </w:p>
        </w:tc>
      </w:tr>
      <w:tr w:rsidR="007E29A7" w14:paraId="70D0A76C" w14:textId="77777777" w:rsidTr="007E29A7">
        <w:trPr>
          <w:trHeight w:val="368"/>
        </w:trPr>
        <w:tc>
          <w:tcPr>
            <w:tcW w:w="1980" w:type="dxa"/>
            <w:tcBorders>
              <w:top w:val="single" w:sz="4" w:space="0" w:color="auto"/>
              <w:left w:val="single" w:sz="4" w:space="0" w:color="auto"/>
              <w:bottom w:val="single" w:sz="4" w:space="0" w:color="auto"/>
              <w:right w:val="single" w:sz="4" w:space="0" w:color="auto"/>
            </w:tcBorders>
            <w:hideMark/>
          </w:tcPr>
          <w:p w14:paraId="05618424" w14:textId="77777777" w:rsidR="007E29A7" w:rsidRDefault="007E29A7" w:rsidP="008D7870">
            <w:pPr>
              <w:spacing w:after="160" w:line="256" w:lineRule="auto"/>
              <w:contextualSpacing/>
              <w:jc w:val="center"/>
              <w:rPr>
                <w:rFonts w:ascii="Verdana" w:eastAsiaTheme="minorHAnsi" w:hAnsi="Verdana"/>
                <w:b/>
                <w:color w:val="000000" w:themeColor="text1"/>
                <w:sz w:val="20"/>
                <w:szCs w:val="20"/>
              </w:rPr>
            </w:pPr>
            <w:r>
              <w:rPr>
                <w:rFonts w:ascii="Verdana" w:hAnsi="Verdana"/>
                <w:b/>
                <w:color w:val="000000" w:themeColor="text1"/>
                <w:sz w:val="20"/>
              </w:rPr>
              <w:t>Policy Owner:</w:t>
            </w:r>
          </w:p>
          <w:p w14:paraId="0917109B" w14:textId="77777777" w:rsidR="007E29A7" w:rsidRDefault="00915025" w:rsidP="008D7870">
            <w:pPr>
              <w:spacing w:after="160" w:line="256" w:lineRule="auto"/>
              <w:contextualSpacing/>
              <w:jc w:val="center"/>
              <w:rPr>
                <w:rFonts w:ascii="Verdana" w:hAnsi="Verdana"/>
                <w:b/>
                <w:color w:val="000000" w:themeColor="text1"/>
                <w:sz w:val="20"/>
              </w:rPr>
            </w:pPr>
            <w:r>
              <w:rPr>
                <w:rFonts w:ascii="Verdana" w:hAnsi="Verdana"/>
                <w:b/>
                <w:color w:val="000000" w:themeColor="text1"/>
                <w:sz w:val="20"/>
              </w:rPr>
              <w:t>A Bruneau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E4AE46" w14:textId="77777777" w:rsidR="007E29A7" w:rsidRDefault="007E29A7" w:rsidP="008D7870">
            <w:pPr>
              <w:spacing w:after="160" w:line="256" w:lineRule="auto"/>
              <w:contextualSpacing/>
              <w:jc w:val="center"/>
              <w:rPr>
                <w:rFonts w:ascii="Verdana" w:hAnsi="Verdana"/>
                <w:b/>
                <w:color w:val="000000" w:themeColor="text1"/>
                <w:sz w:val="20"/>
                <w:szCs w:val="20"/>
              </w:rPr>
            </w:pPr>
            <w:r>
              <w:rPr>
                <w:rFonts w:ascii="Verdana" w:hAnsi="Verdana"/>
                <w:b/>
                <w:color w:val="000000" w:themeColor="text1"/>
                <w:sz w:val="20"/>
              </w:rPr>
              <w:t>Authorised by:</w:t>
            </w:r>
          </w:p>
          <w:p w14:paraId="63FE9476" w14:textId="77777777" w:rsidR="007E29A7" w:rsidRDefault="00915025" w:rsidP="008D7870">
            <w:pPr>
              <w:spacing w:after="160" w:line="256" w:lineRule="auto"/>
              <w:contextualSpacing/>
              <w:jc w:val="center"/>
              <w:rPr>
                <w:rFonts w:ascii="Verdana" w:hAnsi="Verdana"/>
                <w:b/>
                <w:color w:val="000000" w:themeColor="text1"/>
                <w:sz w:val="20"/>
              </w:rPr>
            </w:pPr>
            <w:r>
              <w:rPr>
                <w:rFonts w:ascii="Verdana" w:hAnsi="Verdana"/>
                <w:b/>
                <w:color w:val="000000" w:themeColor="text1"/>
                <w:sz w:val="20"/>
              </w:rPr>
              <w:t>J Coope</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8925553" w14:textId="77777777" w:rsidR="007E29A7" w:rsidRDefault="007E29A7" w:rsidP="008D7870">
            <w:pPr>
              <w:spacing w:after="160" w:line="256" w:lineRule="auto"/>
              <w:contextualSpacing/>
              <w:jc w:val="center"/>
              <w:rPr>
                <w:rFonts w:ascii="Verdana" w:hAnsi="Verdana"/>
                <w:b/>
                <w:color w:val="000000" w:themeColor="text1"/>
                <w:sz w:val="20"/>
              </w:rPr>
            </w:pPr>
            <w:r>
              <w:rPr>
                <w:rFonts w:ascii="Verdana" w:hAnsi="Verdana"/>
                <w:b/>
                <w:color w:val="000000" w:themeColor="text1"/>
                <w:sz w:val="20"/>
              </w:rPr>
              <w:t>Policy No:</w:t>
            </w:r>
          </w:p>
          <w:p w14:paraId="60E01E8D" w14:textId="19107E4C" w:rsidR="007E29A7" w:rsidRDefault="00915025" w:rsidP="008D7870">
            <w:pPr>
              <w:spacing w:after="160" w:line="256" w:lineRule="auto"/>
              <w:contextualSpacing/>
              <w:jc w:val="center"/>
              <w:rPr>
                <w:rFonts w:ascii="Verdana" w:hAnsi="Verdana"/>
                <w:b/>
                <w:color w:val="000000" w:themeColor="text1"/>
                <w:sz w:val="20"/>
              </w:rPr>
            </w:pPr>
            <w:r>
              <w:rPr>
                <w:rFonts w:ascii="Verdana" w:hAnsi="Verdana"/>
                <w:b/>
                <w:color w:val="000000" w:themeColor="text1"/>
                <w:sz w:val="20"/>
              </w:rPr>
              <w:t>POL/</w:t>
            </w:r>
            <w:r w:rsidR="003302E7">
              <w:rPr>
                <w:rFonts w:ascii="Verdana" w:hAnsi="Verdana"/>
                <w:b/>
                <w:color w:val="000000" w:themeColor="text1"/>
                <w:sz w:val="20"/>
              </w:rPr>
              <w:t>E</w:t>
            </w:r>
            <w:r>
              <w:rPr>
                <w:rFonts w:ascii="Verdana" w:hAnsi="Verdana"/>
                <w:b/>
                <w:color w:val="000000" w:themeColor="text1"/>
                <w:sz w:val="20"/>
              </w:rPr>
              <w:t>/</w:t>
            </w:r>
            <w:r w:rsidR="003302E7">
              <w:rPr>
                <w:rFonts w:ascii="Verdana" w:hAnsi="Verdana"/>
                <w:b/>
                <w:color w:val="000000" w:themeColor="text1"/>
                <w:sz w:val="20"/>
              </w:rPr>
              <w:t>01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100F96B" w14:textId="77777777" w:rsidR="007E29A7" w:rsidRDefault="007E29A7" w:rsidP="008D7870">
            <w:pPr>
              <w:spacing w:after="160" w:line="256" w:lineRule="auto"/>
              <w:contextualSpacing/>
              <w:jc w:val="center"/>
              <w:rPr>
                <w:rFonts w:ascii="Verdana" w:hAnsi="Verdana"/>
                <w:b/>
                <w:color w:val="000000" w:themeColor="text1"/>
                <w:sz w:val="20"/>
              </w:rPr>
            </w:pPr>
            <w:r>
              <w:rPr>
                <w:rFonts w:ascii="Verdana" w:hAnsi="Verdana"/>
                <w:b/>
                <w:color w:val="000000" w:themeColor="text1"/>
                <w:sz w:val="20"/>
              </w:rPr>
              <w:t>Issue Date:</w:t>
            </w:r>
          </w:p>
          <w:p w14:paraId="6D6D2A73" w14:textId="50ABAC1F" w:rsidR="007E29A7" w:rsidRDefault="009A0641" w:rsidP="008D7870">
            <w:pPr>
              <w:spacing w:after="160" w:line="256" w:lineRule="auto"/>
              <w:contextualSpacing/>
              <w:jc w:val="center"/>
              <w:rPr>
                <w:rFonts w:ascii="Verdana" w:hAnsi="Verdana"/>
                <w:b/>
                <w:color w:val="000000" w:themeColor="text1"/>
                <w:sz w:val="20"/>
              </w:rPr>
            </w:pPr>
            <w:r>
              <w:rPr>
                <w:rFonts w:ascii="Verdana" w:hAnsi="Verdana"/>
                <w:b/>
                <w:color w:val="000000" w:themeColor="text1"/>
                <w:sz w:val="20"/>
              </w:rPr>
              <w:t>July</w:t>
            </w:r>
            <w:r w:rsidR="009A5ECB">
              <w:rPr>
                <w:rFonts w:ascii="Verdana" w:hAnsi="Verdana"/>
                <w:b/>
                <w:color w:val="000000" w:themeColor="text1"/>
                <w:sz w:val="20"/>
              </w:rPr>
              <w:t xml:space="preserve"> 202</w:t>
            </w:r>
            <w:r w:rsidR="00011C11">
              <w:rPr>
                <w:rFonts w:ascii="Verdana" w:hAnsi="Verdana"/>
                <w:b/>
                <w:color w:val="000000" w:themeColor="text1"/>
                <w:sz w:val="20"/>
              </w:rPr>
              <w:t>4</w:t>
            </w:r>
          </w:p>
        </w:tc>
        <w:tc>
          <w:tcPr>
            <w:tcW w:w="1989" w:type="dxa"/>
            <w:vMerge w:val="restart"/>
            <w:tcBorders>
              <w:top w:val="single" w:sz="4" w:space="0" w:color="auto"/>
              <w:left w:val="single" w:sz="4" w:space="0" w:color="auto"/>
              <w:bottom w:val="single" w:sz="4" w:space="0" w:color="auto"/>
              <w:right w:val="single" w:sz="4" w:space="0" w:color="auto"/>
            </w:tcBorders>
            <w:vAlign w:val="center"/>
            <w:hideMark/>
          </w:tcPr>
          <w:p w14:paraId="100280E8" w14:textId="77777777" w:rsidR="007E29A7" w:rsidRDefault="007E29A7" w:rsidP="008D7870">
            <w:pPr>
              <w:spacing w:after="160" w:line="256" w:lineRule="auto"/>
              <w:contextualSpacing/>
              <w:jc w:val="center"/>
              <w:rPr>
                <w:rFonts w:ascii="Verdana" w:hAnsi="Verdana"/>
                <w:b/>
                <w:color w:val="000000" w:themeColor="text1"/>
                <w:sz w:val="20"/>
              </w:rPr>
            </w:pPr>
            <w:r>
              <w:rPr>
                <w:rFonts w:ascii="Verdana" w:hAnsi="Verdana"/>
                <w:b/>
                <w:color w:val="000000" w:themeColor="text1"/>
                <w:sz w:val="20"/>
              </w:rPr>
              <w:t>Review Date:</w:t>
            </w:r>
          </w:p>
          <w:p w14:paraId="4B17F2F6" w14:textId="7D67D61C" w:rsidR="007E29A7" w:rsidRDefault="009A0641" w:rsidP="008D7870">
            <w:pPr>
              <w:spacing w:after="160" w:line="256" w:lineRule="auto"/>
              <w:contextualSpacing/>
              <w:jc w:val="center"/>
              <w:rPr>
                <w:rFonts w:ascii="Verdana" w:hAnsi="Verdana"/>
                <w:b/>
                <w:color w:val="000000" w:themeColor="text1"/>
                <w:sz w:val="20"/>
              </w:rPr>
            </w:pPr>
            <w:r>
              <w:rPr>
                <w:rFonts w:ascii="Verdana" w:hAnsi="Verdana"/>
                <w:b/>
                <w:color w:val="000000" w:themeColor="text1"/>
                <w:sz w:val="20"/>
              </w:rPr>
              <w:t>June</w:t>
            </w:r>
            <w:r w:rsidR="009A5ECB">
              <w:rPr>
                <w:rFonts w:ascii="Verdana" w:hAnsi="Verdana"/>
                <w:b/>
                <w:color w:val="000000" w:themeColor="text1"/>
                <w:sz w:val="20"/>
              </w:rPr>
              <w:t xml:space="preserve"> 202</w:t>
            </w:r>
            <w:r w:rsidR="00011C11">
              <w:rPr>
                <w:rFonts w:ascii="Verdana" w:hAnsi="Verdana"/>
                <w:b/>
                <w:color w:val="000000" w:themeColor="text1"/>
                <w:sz w:val="20"/>
              </w:rPr>
              <w:t>5</w:t>
            </w:r>
          </w:p>
        </w:tc>
      </w:tr>
      <w:tr w:rsidR="007E29A7" w14:paraId="1FCF86A4" w14:textId="77777777" w:rsidTr="007E29A7">
        <w:trPr>
          <w:trHeight w:val="367"/>
        </w:trPr>
        <w:tc>
          <w:tcPr>
            <w:tcW w:w="1980" w:type="dxa"/>
            <w:tcBorders>
              <w:top w:val="single" w:sz="4" w:space="0" w:color="auto"/>
              <w:left w:val="single" w:sz="4" w:space="0" w:color="auto"/>
              <w:bottom w:val="single" w:sz="4" w:space="0" w:color="auto"/>
              <w:right w:val="single" w:sz="4" w:space="0" w:color="auto"/>
            </w:tcBorders>
          </w:tcPr>
          <w:p w14:paraId="0FB3D532" w14:textId="38CFE00C" w:rsidR="007E29A7" w:rsidRPr="00BC1DE2" w:rsidRDefault="00BC1DE2" w:rsidP="008D7870">
            <w:pPr>
              <w:spacing w:after="160" w:line="256" w:lineRule="auto"/>
              <w:contextualSpacing/>
              <w:jc w:val="center"/>
              <w:rPr>
                <w:rFonts w:ascii="Verdana" w:hAnsi="Verdana"/>
                <w:bCs/>
                <w:color w:val="FF0000"/>
                <w:sz w:val="20"/>
              </w:rPr>
            </w:pPr>
            <w:r>
              <w:rPr>
                <w:rFonts w:ascii="Verdana" w:hAnsi="Verdana"/>
                <w:bCs/>
                <w:color w:val="FF0000"/>
                <w:sz w:val="20"/>
              </w:rPr>
              <w:t>ABruneau</w:t>
            </w:r>
          </w:p>
        </w:tc>
        <w:tc>
          <w:tcPr>
            <w:tcW w:w="2268" w:type="dxa"/>
            <w:tcBorders>
              <w:top w:val="single" w:sz="4" w:space="0" w:color="auto"/>
              <w:left w:val="single" w:sz="4" w:space="0" w:color="auto"/>
              <w:bottom w:val="single" w:sz="4" w:space="0" w:color="auto"/>
              <w:right w:val="single" w:sz="4" w:space="0" w:color="auto"/>
            </w:tcBorders>
            <w:vAlign w:val="center"/>
          </w:tcPr>
          <w:p w14:paraId="0106957E" w14:textId="5E700F6F" w:rsidR="007E29A7" w:rsidRPr="00BC1DE2" w:rsidRDefault="00BC1DE2" w:rsidP="008D7870">
            <w:pPr>
              <w:spacing w:after="160" w:line="256" w:lineRule="auto"/>
              <w:contextualSpacing/>
              <w:jc w:val="center"/>
              <w:rPr>
                <w:rFonts w:ascii="Verdana" w:hAnsi="Verdana"/>
                <w:bCs/>
                <w:color w:val="FF0000"/>
                <w:sz w:val="20"/>
              </w:rPr>
            </w:pPr>
            <w:r>
              <w:rPr>
                <w:rFonts w:ascii="Verdana" w:hAnsi="Verdana"/>
                <w:bCs/>
                <w:color w:val="FF0000"/>
                <w:sz w:val="20"/>
              </w:rPr>
              <w:t>JCoope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1AA55" w14:textId="77777777" w:rsidR="007E29A7" w:rsidRDefault="007E29A7" w:rsidP="008D7870">
            <w:pPr>
              <w:spacing w:after="0"/>
              <w:rPr>
                <w:rFonts w:ascii="Verdana" w:hAnsi="Verdana"/>
                <w:b/>
                <w:color w:val="000000" w:themeColor="text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07B7C" w14:textId="77777777" w:rsidR="007E29A7" w:rsidRDefault="007E29A7" w:rsidP="008D7870">
            <w:pPr>
              <w:spacing w:after="0"/>
              <w:rPr>
                <w:rFonts w:ascii="Verdana" w:hAnsi="Verdana"/>
                <w:b/>
                <w:color w:val="000000" w:themeColor="text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E2C20" w14:textId="77777777" w:rsidR="007E29A7" w:rsidRDefault="007E29A7" w:rsidP="008D7870">
            <w:pPr>
              <w:spacing w:after="0"/>
              <w:rPr>
                <w:rFonts w:ascii="Verdana" w:hAnsi="Verdana"/>
                <w:b/>
                <w:color w:val="000000" w:themeColor="text1"/>
                <w:sz w:val="20"/>
              </w:rPr>
            </w:pPr>
          </w:p>
        </w:tc>
      </w:tr>
    </w:tbl>
    <w:p w14:paraId="22CB4455" w14:textId="6C69F29F" w:rsidR="00015ADC" w:rsidRPr="00396DCE" w:rsidRDefault="00015ADC" w:rsidP="00015ADC">
      <w:pPr>
        <w:spacing w:after="0" w:line="240" w:lineRule="auto"/>
        <w:rPr>
          <w:rFonts w:ascii="Verdana" w:hAnsi="Verdana"/>
          <w:b/>
          <w:sz w:val="16"/>
          <w:szCs w:val="16"/>
        </w:rPr>
      </w:pPr>
    </w:p>
    <w:p w14:paraId="7CF645AD" w14:textId="77777777" w:rsidR="00011C11" w:rsidRPr="003F7877" w:rsidRDefault="00011C11" w:rsidP="00011C11">
      <w:pPr>
        <w:spacing w:after="0" w:line="240" w:lineRule="auto"/>
        <w:rPr>
          <w:rFonts w:ascii="Verdana" w:hAnsi="Verdana"/>
          <w:b/>
        </w:rPr>
      </w:pPr>
      <w:r w:rsidRPr="003F7877">
        <w:rPr>
          <w:rFonts w:ascii="Verdana" w:hAnsi="Verdana"/>
          <w:b/>
        </w:rPr>
        <w:t>Statement</w:t>
      </w:r>
    </w:p>
    <w:p w14:paraId="0EDC070B" w14:textId="77777777" w:rsidR="00011C11" w:rsidRPr="003F7877" w:rsidRDefault="00011C11" w:rsidP="00011C11">
      <w:pPr>
        <w:spacing w:after="0" w:line="240" w:lineRule="auto"/>
        <w:rPr>
          <w:rFonts w:ascii="Verdana" w:hAnsi="Verdana"/>
          <w:sz w:val="19"/>
          <w:szCs w:val="19"/>
        </w:rPr>
      </w:pPr>
      <w:r w:rsidRPr="003F7877">
        <w:rPr>
          <w:rFonts w:ascii="Verdana" w:hAnsi="Verdana"/>
          <w:sz w:val="19"/>
          <w:szCs w:val="19"/>
        </w:rPr>
        <w:t xml:space="preserve">The British Motor Industry Heritage Trust recognises its operations have an effect on the local, regional and global environment and Trustees, management and staff are committed to continuous improvement of our sustainable environmental performance.  </w:t>
      </w:r>
    </w:p>
    <w:p w14:paraId="2A06FAF4" w14:textId="77777777" w:rsidR="00011C11" w:rsidRPr="003F7877" w:rsidRDefault="00011C11" w:rsidP="00011C11">
      <w:pPr>
        <w:spacing w:after="0" w:line="240" w:lineRule="auto"/>
        <w:rPr>
          <w:rFonts w:ascii="Verdana" w:hAnsi="Verdana"/>
          <w:sz w:val="16"/>
          <w:szCs w:val="16"/>
        </w:rPr>
      </w:pPr>
    </w:p>
    <w:p w14:paraId="68D620D4" w14:textId="77777777" w:rsidR="00011C11" w:rsidRPr="003F7877" w:rsidRDefault="00011C11" w:rsidP="00011C11">
      <w:pPr>
        <w:spacing w:after="0" w:line="240" w:lineRule="auto"/>
        <w:rPr>
          <w:rFonts w:ascii="Verdana" w:hAnsi="Verdana"/>
          <w:sz w:val="19"/>
          <w:szCs w:val="19"/>
        </w:rPr>
      </w:pPr>
      <w:r w:rsidRPr="003F7877">
        <w:rPr>
          <w:rFonts w:ascii="Verdana" w:hAnsi="Verdana"/>
          <w:sz w:val="19"/>
          <w:szCs w:val="19"/>
        </w:rPr>
        <w:t>The Trust is also committed to managing and reducing running costs to ensure its long-term sustainability and resilience and to maintain cash flow and that by operating its business in an environmentally sustainable manner can assist in this goal.</w:t>
      </w:r>
    </w:p>
    <w:p w14:paraId="79B65C13" w14:textId="77777777" w:rsidR="00011C11" w:rsidRPr="003F7877" w:rsidRDefault="00011C11" w:rsidP="00011C11">
      <w:pPr>
        <w:spacing w:after="0" w:line="240" w:lineRule="auto"/>
        <w:rPr>
          <w:rFonts w:ascii="Verdana" w:hAnsi="Verdana"/>
          <w:sz w:val="16"/>
          <w:szCs w:val="16"/>
        </w:rPr>
      </w:pPr>
    </w:p>
    <w:p w14:paraId="63F736CB" w14:textId="77777777" w:rsidR="00011C11" w:rsidRPr="003F7877" w:rsidRDefault="00011C11" w:rsidP="00011C11">
      <w:pPr>
        <w:spacing w:after="0" w:line="240" w:lineRule="auto"/>
        <w:rPr>
          <w:rFonts w:ascii="Verdana" w:hAnsi="Verdana"/>
          <w:sz w:val="19"/>
          <w:szCs w:val="19"/>
        </w:rPr>
      </w:pPr>
      <w:r w:rsidRPr="003F7877">
        <w:rPr>
          <w:rFonts w:ascii="Verdana" w:hAnsi="Verdana"/>
          <w:sz w:val="19"/>
          <w:szCs w:val="19"/>
        </w:rPr>
        <w:t>BMIHT also recognises increased levels of expectations from visitors and corporate clients to ensure that the environmental impact and carbon footprint of its operations is managed and reduced wherever possible.</w:t>
      </w:r>
    </w:p>
    <w:p w14:paraId="1DFDE72F" w14:textId="77777777" w:rsidR="00011C11" w:rsidRDefault="00011C11" w:rsidP="00011C11">
      <w:pPr>
        <w:spacing w:after="0" w:line="240" w:lineRule="auto"/>
        <w:rPr>
          <w:rFonts w:ascii="Verdana" w:hAnsi="Verdana"/>
          <w:sz w:val="16"/>
          <w:szCs w:val="16"/>
        </w:rPr>
      </w:pPr>
    </w:p>
    <w:p w14:paraId="309ABCF5" w14:textId="77777777" w:rsidR="00011C11" w:rsidRPr="003F7877" w:rsidRDefault="00011C11" w:rsidP="00011C11">
      <w:pPr>
        <w:spacing w:after="0" w:line="240" w:lineRule="auto"/>
        <w:rPr>
          <w:rFonts w:ascii="Verdana" w:hAnsi="Verdana"/>
          <w:b/>
        </w:rPr>
      </w:pPr>
      <w:r w:rsidRPr="003F7877">
        <w:rPr>
          <w:rFonts w:ascii="Verdana" w:hAnsi="Verdana"/>
          <w:b/>
        </w:rPr>
        <w:t>Policy Aims</w:t>
      </w:r>
    </w:p>
    <w:p w14:paraId="3B4FD666" w14:textId="77777777" w:rsidR="00011C11" w:rsidRPr="003F7877" w:rsidRDefault="00011C11" w:rsidP="00011C11">
      <w:pPr>
        <w:pStyle w:val="ListParagraph"/>
        <w:numPr>
          <w:ilvl w:val="0"/>
          <w:numId w:val="13"/>
        </w:numPr>
        <w:spacing w:after="0" w:line="240" w:lineRule="auto"/>
        <w:rPr>
          <w:rFonts w:ascii="Verdana" w:hAnsi="Verdana"/>
          <w:sz w:val="19"/>
          <w:szCs w:val="19"/>
        </w:rPr>
      </w:pPr>
      <w:r w:rsidRPr="003F7877">
        <w:rPr>
          <w:rFonts w:ascii="Verdana" w:hAnsi="Verdana"/>
          <w:sz w:val="19"/>
          <w:szCs w:val="19"/>
        </w:rPr>
        <w:t>To comply with all relevant regulatory requirements.</w:t>
      </w:r>
    </w:p>
    <w:p w14:paraId="00E0E744" w14:textId="77777777" w:rsidR="00011C11" w:rsidRPr="003F7877" w:rsidRDefault="00011C11" w:rsidP="00011C11">
      <w:pPr>
        <w:pStyle w:val="ListParagraph"/>
        <w:numPr>
          <w:ilvl w:val="0"/>
          <w:numId w:val="13"/>
        </w:numPr>
        <w:spacing w:after="0" w:line="240" w:lineRule="auto"/>
        <w:rPr>
          <w:rFonts w:ascii="Verdana" w:hAnsi="Verdana"/>
          <w:sz w:val="19"/>
          <w:szCs w:val="19"/>
        </w:rPr>
      </w:pPr>
      <w:r w:rsidRPr="003F7877">
        <w:rPr>
          <w:rFonts w:ascii="Verdana" w:hAnsi="Verdana"/>
          <w:sz w:val="19"/>
          <w:szCs w:val="19"/>
        </w:rPr>
        <w:t>Continually improve and monitor environmental performance.</w:t>
      </w:r>
    </w:p>
    <w:p w14:paraId="4F14D7DF" w14:textId="77777777" w:rsidR="00011C11" w:rsidRPr="003F7877" w:rsidRDefault="00011C11" w:rsidP="00011C11">
      <w:pPr>
        <w:pStyle w:val="ListParagraph"/>
        <w:numPr>
          <w:ilvl w:val="0"/>
          <w:numId w:val="13"/>
        </w:numPr>
        <w:spacing w:after="0" w:line="240" w:lineRule="auto"/>
        <w:rPr>
          <w:rFonts w:ascii="Verdana" w:hAnsi="Verdana"/>
          <w:sz w:val="19"/>
          <w:szCs w:val="19"/>
        </w:rPr>
      </w:pPr>
      <w:r w:rsidRPr="003F7877">
        <w:rPr>
          <w:rFonts w:ascii="Verdana" w:hAnsi="Verdana"/>
          <w:sz w:val="19"/>
          <w:szCs w:val="19"/>
        </w:rPr>
        <w:t>Continually improve and reduce environmental impacts.</w:t>
      </w:r>
    </w:p>
    <w:p w14:paraId="6DAA5A61" w14:textId="77777777" w:rsidR="00011C11" w:rsidRPr="003F7877" w:rsidRDefault="00011C11" w:rsidP="00011C11">
      <w:pPr>
        <w:pStyle w:val="ListParagraph"/>
        <w:numPr>
          <w:ilvl w:val="0"/>
          <w:numId w:val="13"/>
        </w:numPr>
        <w:spacing w:after="0" w:line="240" w:lineRule="auto"/>
        <w:rPr>
          <w:rFonts w:ascii="Verdana" w:hAnsi="Verdana"/>
          <w:sz w:val="19"/>
          <w:szCs w:val="19"/>
        </w:rPr>
      </w:pPr>
      <w:r w:rsidRPr="003F7877">
        <w:rPr>
          <w:rFonts w:ascii="Verdana" w:hAnsi="Verdana"/>
          <w:sz w:val="19"/>
          <w:szCs w:val="19"/>
        </w:rPr>
        <w:t>Based on this policy, implement an environmental action plan</w:t>
      </w:r>
      <w:r>
        <w:rPr>
          <w:rFonts w:ascii="Verdana" w:hAnsi="Verdana"/>
          <w:sz w:val="19"/>
          <w:szCs w:val="19"/>
        </w:rPr>
        <w:t xml:space="preserve"> to track and record progress</w:t>
      </w:r>
      <w:r w:rsidRPr="003F7877">
        <w:rPr>
          <w:rFonts w:ascii="Verdana" w:hAnsi="Verdana"/>
          <w:sz w:val="19"/>
          <w:szCs w:val="19"/>
        </w:rPr>
        <w:t>.</w:t>
      </w:r>
    </w:p>
    <w:p w14:paraId="3B5A34C6" w14:textId="77777777" w:rsidR="00011C11" w:rsidRPr="003F7877" w:rsidRDefault="00011C11" w:rsidP="00011C11">
      <w:pPr>
        <w:pStyle w:val="ListParagraph"/>
        <w:numPr>
          <w:ilvl w:val="0"/>
          <w:numId w:val="13"/>
        </w:numPr>
        <w:spacing w:after="0" w:line="240" w:lineRule="auto"/>
        <w:rPr>
          <w:rFonts w:ascii="Verdana" w:hAnsi="Verdana"/>
          <w:sz w:val="19"/>
          <w:szCs w:val="19"/>
        </w:rPr>
      </w:pPr>
      <w:r w:rsidRPr="003F7877">
        <w:rPr>
          <w:rFonts w:ascii="Verdana" w:hAnsi="Verdana"/>
          <w:sz w:val="19"/>
          <w:szCs w:val="19"/>
        </w:rPr>
        <w:t xml:space="preserve">To work with other organisations to raise environmental awareness e.g. </w:t>
      </w:r>
      <w:r>
        <w:rPr>
          <w:rFonts w:ascii="Verdana" w:hAnsi="Verdana"/>
          <w:sz w:val="19"/>
          <w:szCs w:val="19"/>
        </w:rPr>
        <w:t>Green Tourism</w:t>
      </w:r>
      <w:r w:rsidRPr="003F7877">
        <w:rPr>
          <w:rFonts w:ascii="Verdana" w:hAnsi="Verdana"/>
          <w:sz w:val="19"/>
          <w:szCs w:val="19"/>
        </w:rPr>
        <w:t xml:space="preserve"> and Greengage EcoSmart to better understand our environmental impacts.</w:t>
      </w:r>
    </w:p>
    <w:p w14:paraId="0EA75B63" w14:textId="77777777" w:rsidR="00011C11" w:rsidRPr="003F7877" w:rsidRDefault="00011C11" w:rsidP="00011C11">
      <w:pPr>
        <w:pStyle w:val="ListParagraph"/>
        <w:numPr>
          <w:ilvl w:val="0"/>
          <w:numId w:val="13"/>
        </w:numPr>
        <w:spacing w:after="0" w:line="240" w:lineRule="auto"/>
        <w:rPr>
          <w:rFonts w:ascii="Verdana" w:hAnsi="Verdana"/>
          <w:sz w:val="19"/>
          <w:szCs w:val="19"/>
        </w:rPr>
      </w:pPr>
      <w:r w:rsidRPr="003F7877">
        <w:rPr>
          <w:rFonts w:ascii="Verdana" w:hAnsi="Verdana"/>
          <w:sz w:val="19"/>
          <w:szCs w:val="19"/>
        </w:rPr>
        <w:t>Increase employee awareness and involvement in our environmental sustainability journey.</w:t>
      </w:r>
    </w:p>
    <w:p w14:paraId="45699512" w14:textId="77777777" w:rsidR="00011C11" w:rsidRPr="003F7877" w:rsidRDefault="00011C11" w:rsidP="00011C11">
      <w:pPr>
        <w:pStyle w:val="ListParagraph"/>
        <w:numPr>
          <w:ilvl w:val="0"/>
          <w:numId w:val="13"/>
        </w:numPr>
        <w:spacing w:after="0" w:line="240" w:lineRule="auto"/>
        <w:rPr>
          <w:rFonts w:ascii="Verdana" w:hAnsi="Verdana"/>
          <w:sz w:val="19"/>
          <w:szCs w:val="19"/>
        </w:rPr>
      </w:pPr>
      <w:r w:rsidRPr="003F7877">
        <w:rPr>
          <w:rFonts w:ascii="Verdana" w:eastAsia="Verdana" w:hAnsi="Verdana" w:cs="Verdana"/>
          <w:sz w:val="19"/>
          <w:szCs w:val="19"/>
        </w:rPr>
        <w:t>To be environmentally sustainable through net zero carbon operations.</w:t>
      </w:r>
    </w:p>
    <w:p w14:paraId="7E889E8A" w14:textId="77777777" w:rsidR="00011C11" w:rsidRPr="003F7877" w:rsidRDefault="00011C11" w:rsidP="00011C11">
      <w:pPr>
        <w:spacing w:after="0" w:line="240" w:lineRule="auto"/>
        <w:rPr>
          <w:rFonts w:ascii="Verdana" w:hAnsi="Verdana"/>
          <w:b/>
          <w:sz w:val="16"/>
          <w:szCs w:val="16"/>
        </w:rPr>
      </w:pPr>
    </w:p>
    <w:p w14:paraId="5A370D84" w14:textId="77777777" w:rsidR="00011C11" w:rsidRPr="003F7877" w:rsidRDefault="00011C11" w:rsidP="00011C11">
      <w:pPr>
        <w:spacing w:after="0" w:line="240" w:lineRule="auto"/>
        <w:rPr>
          <w:rFonts w:ascii="Verdana" w:hAnsi="Verdana"/>
          <w:b/>
        </w:rPr>
      </w:pPr>
      <w:r w:rsidRPr="003F7877">
        <w:rPr>
          <w:rFonts w:ascii="Verdana" w:hAnsi="Verdana"/>
          <w:b/>
        </w:rPr>
        <w:t>Our Environmental Commitment</w:t>
      </w:r>
    </w:p>
    <w:p w14:paraId="0D0E64B0" w14:textId="77777777" w:rsidR="00011C11" w:rsidRPr="003F7877" w:rsidRDefault="00011C11" w:rsidP="00011C11">
      <w:pPr>
        <w:spacing w:after="0" w:line="240" w:lineRule="auto"/>
        <w:rPr>
          <w:rFonts w:ascii="Verdana" w:hAnsi="Verdana"/>
          <w:bCs/>
          <w:sz w:val="16"/>
          <w:szCs w:val="16"/>
        </w:rPr>
      </w:pPr>
    </w:p>
    <w:p w14:paraId="7C395E58" w14:textId="77777777" w:rsidR="00011C11" w:rsidRPr="009A0641" w:rsidRDefault="00011C11" w:rsidP="00011C11">
      <w:pPr>
        <w:spacing w:after="0" w:line="240" w:lineRule="auto"/>
        <w:rPr>
          <w:rFonts w:ascii="Verdana" w:hAnsi="Verdana"/>
          <w:sz w:val="19"/>
          <w:szCs w:val="19"/>
        </w:rPr>
      </w:pPr>
      <w:r w:rsidRPr="003F7877">
        <w:rPr>
          <w:rFonts w:ascii="Verdana" w:hAnsi="Verdana"/>
          <w:b/>
          <w:sz w:val="19"/>
          <w:szCs w:val="19"/>
        </w:rPr>
        <w:t>Energy:</w:t>
      </w:r>
      <w:r w:rsidRPr="003F7877">
        <w:rPr>
          <w:rFonts w:ascii="Verdana" w:hAnsi="Verdana"/>
          <w:bCs/>
          <w:sz w:val="19"/>
          <w:szCs w:val="19"/>
        </w:rPr>
        <w:t xml:space="preserve"> </w:t>
      </w:r>
      <w:r w:rsidRPr="003F7877">
        <w:rPr>
          <w:rFonts w:ascii="Verdana" w:hAnsi="Verdana"/>
          <w:sz w:val="19"/>
          <w:szCs w:val="19"/>
        </w:rPr>
        <w:t xml:space="preserve">The Trust will continue to work </w:t>
      </w:r>
      <w:r w:rsidRPr="009A0641">
        <w:rPr>
          <w:rFonts w:ascii="Verdana" w:hAnsi="Verdana"/>
          <w:sz w:val="19"/>
          <w:szCs w:val="19"/>
        </w:rPr>
        <w:t>to reduce all energy consumption throughout the site with LED lighting, optimised building management system, use of efficient chiller plant and low energy consumption ovens and refrigeration equipment.  Green electricity will continue to be supplied to the site.  A proposed project to install second life EV batteries to the solar array on the Collections Centre for power storage in 2024 is planned.  Ongoing investigation of other environmental initiatives including low carbon and renewable technologies that may help to reduce our carbon footprint.</w:t>
      </w:r>
    </w:p>
    <w:p w14:paraId="3FE54ED4" w14:textId="77777777" w:rsidR="00011C11" w:rsidRPr="009A0641" w:rsidRDefault="00011C11" w:rsidP="00011C11">
      <w:pPr>
        <w:spacing w:after="0" w:line="240" w:lineRule="auto"/>
        <w:rPr>
          <w:rFonts w:ascii="Verdana" w:hAnsi="Verdana"/>
          <w:sz w:val="19"/>
          <w:szCs w:val="19"/>
        </w:rPr>
      </w:pPr>
    </w:p>
    <w:p w14:paraId="5B0DF467" w14:textId="77777777" w:rsidR="00011C11" w:rsidRPr="009A0641" w:rsidRDefault="00011C11" w:rsidP="00011C11">
      <w:pPr>
        <w:spacing w:after="0" w:line="240" w:lineRule="auto"/>
        <w:rPr>
          <w:rFonts w:ascii="Verdana" w:hAnsi="Verdana"/>
          <w:sz w:val="19"/>
          <w:szCs w:val="19"/>
        </w:rPr>
      </w:pPr>
      <w:r w:rsidRPr="009A0641">
        <w:rPr>
          <w:rFonts w:ascii="Verdana" w:hAnsi="Verdana"/>
          <w:b/>
          <w:bCs/>
          <w:sz w:val="19"/>
          <w:szCs w:val="19"/>
        </w:rPr>
        <w:t>Water:</w:t>
      </w:r>
      <w:r w:rsidRPr="009A0641">
        <w:rPr>
          <w:rFonts w:ascii="Verdana" w:hAnsi="Verdana"/>
          <w:sz w:val="19"/>
          <w:szCs w:val="19"/>
        </w:rPr>
        <w:t xml:space="preserve"> We will continue to reduce the amount of water used which is assisted by the installation of waterless urinals, dual flush cisterns in washrooms, sensor taps, plumbed in water dispensers and the provision of an in-house water bottling plant for filtered still and sparkling water utilising reusable glass bottles removing transportation and waste.</w:t>
      </w:r>
    </w:p>
    <w:p w14:paraId="41660802" w14:textId="77777777" w:rsidR="00011C11" w:rsidRPr="009A0641" w:rsidRDefault="00011C11" w:rsidP="00011C11">
      <w:pPr>
        <w:spacing w:after="0" w:line="240" w:lineRule="auto"/>
        <w:rPr>
          <w:rFonts w:ascii="Verdana" w:hAnsi="Verdana"/>
          <w:b/>
          <w:bCs/>
          <w:sz w:val="19"/>
          <w:szCs w:val="19"/>
        </w:rPr>
      </w:pPr>
    </w:p>
    <w:p w14:paraId="024E007C" w14:textId="77777777" w:rsidR="00011C11" w:rsidRPr="009A0641" w:rsidRDefault="00011C11" w:rsidP="00011C11">
      <w:pPr>
        <w:spacing w:after="0" w:line="240" w:lineRule="auto"/>
        <w:rPr>
          <w:rFonts w:ascii="Verdana" w:hAnsi="Verdana"/>
          <w:sz w:val="20"/>
          <w:szCs w:val="20"/>
        </w:rPr>
      </w:pPr>
      <w:r w:rsidRPr="009A0641">
        <w:rPr>
          <w:rFonts w:ascii="Verdana" w:hAnsi="Verdana"/>
          <w:b/>
          <w:bCs/>
          <w:sz w:val="19"/>
          <w:szCs w:val="19"/>
        </w:rPr>
        <w:t>Waste:</w:t>
      </w:r>
      <w:r w:rsidRPr="009A0641">
        <w:rPr>
          <w:rFonts w:ascii="Verdana" w:hAnsi="Verdana"/>
          <w:sz w:val="19"/>
          <w:szCs w:val="19"/>
        </w:rPr>
        <w:t xml:space="preserve"> We will continue to work to minimise waste generated by our activities as far as possible, maintaining levels of recycling, reuse and recovery and will continue to operate</w:t>
      </w:r>
      <w:r w:rsidRPr="009A0641">
        <w:rPr>
          <w:rFonts w:ascii="Verdana" w:hAnsi="Verdana"/>
          <w:sz w:val="20"/>
          <w:szCs w:val="20"/>
        </w:rPr>
        <w:t xml:space="preserve"> on a zero waste to landfill basis.  In addition, all food waste will continue to be disposed of via </w:t>
      </w:r>
    </w:p>
    <w:p w14:paraId="3C24E816" w14:textId="77777777" w:rsidR="00D67AD9" w:rsidRPr="009A0641" w:rsidRDefault="00D67AD9" w:rsidP="00011C11">
      <w:pPr>
        <w:spacing w:after="0" w:line="240" w:lineRule="auto"/>
        <w:rPr>
          <w:rFonts w:ascii="Verdana" w:hAnsi="Verdana"/>
          <w:sz w:val="19"/>
          <w:szCs w:val="19"/>
        </w:rPr>
        <w:sectPr w:rsidR="00D67AD9" w:rsidRPr="009A0641" w:rsidSect="00D67AD9">
          <w:headerReference w:type="even" r:id="rId8"/>
          <w:headerReference w:type="default" r:id="rId9"/>
          <w:pgSz w:w="11906" w:h="16838"/>
          <w:pgMar w:top="1440" w:right="1440" w:bottom="1440" w:left="1440" w:header="708" w:footer="708" w:gutter="0"/>
          <w:cols w:space="708"/>
          <w:docGrid w:linePitch="360"/>
        </w:sectPr>
      </w:pPr>
    </w:p>
    <w:p w14:paraId="0799BD4C" w14:textId="77777777" w:rsidR="00033E50" w:rsidRPr="009A0641" w:rsidRDefault="00033E50" w:rsidP="00011C11">
      <w:pPr>
        <w:spacing w:after="0" w:line="240" w:lineRule="auto"/>
        <w:rPr>
          <w:rFonts w:ascii="Verdana" w:hAnsi="Verdana"/>
          <w:sz w:val="19"/>
          <w:szCs w:val="19"/>
        </w:rPr>
      </w:pPr>
    </w:p>
    <w:p w14:paraId="05753AAA" w14:textId="79625780" w:rsidR="00011C11" w:rsidRPr="009A0641" w:rsidRDefault="00011C11" w:rsidP="00011C11">
      <w:pPr>
        <w:spacing w:after="0" w:line="240" w:lineRule="auto"/>
        <w:rPr>
          <w:rFonts w:ascii="Verdana" w:hAnsi="Verdana"/>
          <w:sz w:val="19"/>
          <w:szCs w:val="19"/>
        </w:rPr>
      </w:pPr>
      <w:r w:rsidRPr="009A0641">
        <w:rPr>
          <w:rFonts w:ascii="Verdana" w:hAnsi="Verdana"/>
          <w:sz w:val="19"/>
          <w:szCs w:val="19"/>
        </w:rPr>
        <w:t>an anaerobic digestion facility which generates electricity and crop feed, and green waste is disposed of at a composting facility.  All waste cooking oils are sent to create high quality biofuels for transport.</w:t>
      </w:r>
    </w:p>
    <w:p w14:paraId="41DE7D11" w14:textId="77777777" w:rsidR="00011C11" w:rsidRPr="009A0641" w:rsidRDefault="00011C11" w:rsidP="00011C11">
      <w:pPr>
        <w:spacing w:after="0" w:line="240" w:lineRule="auto"/>
        <w:rPr>
          <w:rFonts w:ascii="Verdana" w:hAnsi="Verdana"/>
          <w:sz w:val="16"/>
          <w:szCs w:val="16"/>
        </w:rPr>
      </w:pPr>
    </w:p>
    <w:p w14:paraId="0F70C5F4" w14:textId="77777777" w:rsidR="00011C11" w:rsidRPr="009A0641" w:rsidRDefault="00011C11" w:rsidP="00011C11">
      <w:pPr>
        <w:spacing w:after="0" w:line="240" w:lineRule="auto"/>
        <w:rPr>
          <w:rFonts w:ascii="Verdana" w:hAnsi="Verdana"/>
          <w:sz w:val="19"/>
          <w:szCs w:val="19"/>
        </w:rPr>
      </w:pPr>
      <w:r w:rsidRPr="009A0641">
        <w:rPr>
          <w:rFonts w:ascii="Verdana" w:hAnsi="Verdana"/>
          <w:b/>
          <w:bCs/>
          <w:sz w:val="19"/>
          <w:szCs w:val="19"/>
        </w:rPr>
        <w:t>Travel:</w:t>
      </w:r>
      <w:r w:rsidRPr="009A0641">
        <w:rPr>
          <w:rFonts w:ascii="Verdana" w:hAnsi="Verdana"/>
          <w:sz w:val="19"/>
          <w:szCs w:val="19"/>
        </w:rPr>
        <w:t xml:space="preserve"> Due to the rural location of the museum, public transport is limited, so most people arrive by car.  For those with an electric car, EV charging is available for all visitors, staff and volunteers. Business travel for staff and volunteers is minimal, but wherever possible the use of public transport is encouraged for longer journeys to reduce carbon emissions.  We will undertake works on how best to survey our visitors to better understand how they arrive at our venue. In addition, the Conference business has partnered with Tree-V to offer conference bookers the opportunity to carbon offset or capture their event.</w:t>
      </w:r>
    </w:p>
    <w:p w14:paraId="7466CDC5" w14:textId="77777777" w:rsidR="00011C11" w:rsidRPr="009A0641" w:rsidRDefault="00011C11" w:rsidP="00011C11">
      <w:pPr>
        <w:spacing w:after="0" w:line="240" w:lineRule="auto"/>
        <w:rPr>
          <w:rFonts w:ascii="Verdana" w:hAnsi="Verdana"/>
          <w:sz w:val="16"/>
          <w:szCs w:val="16"/>
        </w:rPr>
      </w:pPr>
    </w:p>
    <w:p w14:paraId="26F0FE3F" w14:textId="77777777" w:rsidR="00011C11" w:rsidRPr="009A0641" w:rsidRDefault="00011C11" w:rsidP="00011C11">
      <w:pPr>
        <w:spacing w:after="0" w:line="240" w:lineRule="auto"/>
        <w:rPr>
          <w:rFonts w:ascii="Verdana" w:hAnsi="Verdana"/>
          <w:sz w:val="19"/>
          <w:szCs w:val="19"/>
        </w:rPr>
      </w:pPr>
      <w:r w:rsidRPr="009A0641">
        <w:rPr>
          <w:rFonts w:ascii="Verdana" w:hAnsi="Verdana"/>
          <w:b/>
          <w:bCs/>
          <w:sz w:val="19"/>
          <w:szCs w:val="19"/>
        </w:rPr>
        <w:t>Procurement:</w:t>
      </w:r>
      <w:r w:rsidRPr="009A0641">
        <w:rPr>
          <w:rFonts w:ascii="Verdana" w:hAnsi="Verdana"/>
          <w:sz w:val="19"/>
          <w:szCs w:val="19"/>
        </w:rPr>
        <w:t xml:space="preserve"> The Trust will work to ensure that the procurement of all goods and services is undertaken in as environmentally sensitive manner as possible with suppliers who share our environmental values, utilising local suppliers wherever possible. Continue to purchase seasonal and local produce via our catering procurement process.</w:t>
      </w:r>
    </w:p>
    <w:p w14:paraId="06567E26" w14:textId="77777777" w:rsidR="00011C11" w:rsidRPr="009A0641" w:rsidRDefault="00011C11" w:rsidP="00011C11">
      <w:pPr>
        <w:spacing w:after="0" w:line="240" w:lineRule="auto"/>
        <w:rPr>
          <w:rFonts w:ascii="Verdana" w:hAnsi="Verdana"/>
          <w:sz w:val="16"/>
          <w:szCs w:val="16"/>
        </w:rPr>
      </w:pPr>
    </w:p>
    <w:p w14:paraId="3F322151" w14:textId="77777777" w:rsidR="00011C11" w:rsidRPr="009A0641" w:rsidRDefault="00011C11" w:rsidP="00011C11">
      <w:pPr>
        <w:spacing w:after="0" w:line="240" w:lineRule="auto"/>
        <w:rPr>
          <w:rFonts w:ascii="Verdana" w:hAnsi="Verdana"/>
          <w:sz w:val="19"/>
          <w:szCs w:val="19"/>
        </w:rPr>
      </w:pPr>
      <w:r w:rsidRPr="009A0641">
        <w:rPr>
          <w:rFonts w:ascii="Verdana" w:hAnsi="Verdana"/>
          <w:b/>
          <w:bCs/>
          <w:sz w:val="19"/>
          <w:szCs w:val="19"/>
        </w:rPr>
        <w:t>Exhibitions &amp; Displays:</w:t>
      </w:r>
      <w:r w:rsidRPr="009A0641">
        <w:rPr>
          <w:rFonts w:ascii="Verdana" w:hAnsi="Verdana"/>
          <w:sz w:val="19"/>
          <w:szCs w:val="19"/>
        </w:rPr>
        <w:t xml:space="preserve"> Care will be taken to ensure that new exhibitions and displays are environmentally sustainable and where possible previous exhibition displays will be repurposed to minimise waste and maximise the recycle potential.  We will aim to produce more collaborative exhibitions where resources are shared by more than one organisation.  As we have a technical collection, we will use this to help our visitors explore the environmental issues of cars and travel.</w:t>
      </w:r>
    </w:p>
    <w:p w14:paraId="0134EC08" w14:textId="77777777" w:rsidR="00011C11" w:rsidRPr="009A0641" w:rsidRDefault="00011C11" w:rsidP="00011C11">
      <w:pPr>
        <w:spacing w:after="0" w:line="240" w:lineRule="auto"/>
        <w:rPr>
          <w:rFonts w:ascii="Verdana" w:hAnsi="Verdana"/>
          <w:sz w:val="16"/>
          <w:szCs w:val="16"/>
        </w:rPr>
      </w:pPr>
    </w:p>
    <w:p w14:paraId="664FACF2" w14:textId="77777777" w:rsidR="00011C11" w:rsidRPr="009A0641" w:rsidRDefault="00011C11" w:rsidP="00011C11">
      <w:pPr>
        <w:spacing w:after="0" w:line="240" w:lineRule="auto"/>
        <w:rPr>
          <w:rFonts w:ascii="Verdana" w:hAnsi="Verdana"/>
          <w:sz w:val="19"/>
          <w:szCs w:val="19"/>
        </w:rPr>
      </w:pPr>
      <w:r w:rsidRPr="009A0641">
        <w:rPr>
          <w:rFonts w:ascii="Verdana" w:hAnsi="Verdana"/>
          <w:b/>
          <w:bCs/>
          <w:sz w:val="19"/>
          <w:szCs w:val="19"/>
        </w:rPr>
        <w:t>Paper:</w:t>
      </w:r>
      <w:r w:rsidRPr="009A0641">
        <w:rPr>
          <w:rFonts w:ascii="Verdana" w:hAnsi="Verdana"/>
          <w:sz w:val="19"/>
          <w:szCs w:val="19"/>
        </w:rPr>
        <w:t xml:space="preserve"> Wherever possible, the use of paper will be minimised, reused or recycled, printed materials such as publicity leaflet and other copy will always be produced on ‘FSC’ paper from responsible sources and where relevant electronic media will be used to reduce paper consumption.</w:t>
      </w:r>
    </w:p>
    <w:p w14:paraId="19AAA90B" w14:textId="77777777" w:rsidR="00011C11" w:rsidRPr="009A0641" w:rsidRDefault="00011C11" w:rsidP="00011C11">
      <w:pPr>
        <w:spacing w:after="0" w:line="240" w:lineRule="auto"/>
        <w:rPr>
          <w:rFonts w:ascii="Verdana" w:hAnsi="Verdana"/>
          <w:sz w:val="16"/>
          <w:szCs w:val="16"/>
        </w:rPr>
      </w:pPr>
    </w:p>
    <w:p w14:paraId="4323C3DE" w14:textId="77777777" w:rsidR="00011C11" w:rsidRPr="009A0641" w:rsidRDefault="00011C11" w:rsidP="00011C11">
      <w:pPr>
        <w:spacing w:after="0" w:line="240" w:lineRule="auto"/>
        <w:rPr>
          <w:rFonts w:ascii="Verdana" w:hAnsi="Verdana"/>
          <w:sz w:val="19"/>
          <w:szCs w:val="19"/>
        </w:rPr>
      </w:pPr>
      <w:r w:rsidRPr="009A0641">
        <w:rPr>
          <w:rFonts w:ascii="Verdana" w:hAnsi="Verdana"/>
          <w:b/>
          <w:bCs/>
          <w:sz w:val="19"/>
          <w:szCs w:val="19"/>
        </w:rPr>
        <w:t>Employee Awareness:</w:t>
      </w:r>
      <w:r w:rsidRPr="009A0641">
        <w:rPr>
          <w:rFonts w:ascii="Verdana" w:hAnsi="Verdana"/>
          <w:sz w:val="19"/>
          <w:szCs w:val="19"/>
        </w:rPr>
        <w:t xml:space="preserve"> The implementation of an Environmental Team of staff and volunteers across the organisation has been established and encourages greater participation in energy conservation and recycling initiatives and improves communication within the Museum and Conference Centre operations.   This team will be responsible for implementing an environmental action plan to track and record the progress of initiatives implemented.</w:t>
      </w:r>
    </w:p>
    <w:p w14:paraId="4E1DF051" w14:textId="77777777" w:rsidR="00011C11" w:rsidRPr="009A0641" w:rsidRDefault="00011C11" w:rsidP="00011C11">
      <w:pPr>
        <w:spacing w:after="0" w:line="240" w:lineRule="auto"/>
        <w:rPr>
          <w:rFonts w:ascii="Verdana" w:hAnsi="Verdana"/>
          <w:sz w:val="16"/>
          <w:szCs w:val="16"/>
        </w:rPr>
      </w:pPr>
    </w:p>
    <w:p w14:paraId="6D993701" w14:textId="77777777" w:rsidR="00011C11" w:rsidRPr="009A0641" w:rsidRDefault="00011C11" w:rsidP="00011C11">
      <w:pPr>
        <w:spacing w:after="0" w:line="240" w:lineRule="auto"/>
        <w:rPr>
          <w:rFonts w:ascii="Verdana" w:hAnsi="Verdana"/>
          <w:sz w:val="19"/>
          <w:szCs w:val="19"/>
        </w:rPr>
      </w:pPr>
      <w:r w:rsidRPr="009A0641">
        <w:rPr>
          <w:rFonts w:ascii="Verdana" w:hAnsi="Verdana"/>
          <w:b/>
          <w:bCs/>
          <w:sz w:val="19"/>
          <w:szCs w:val="19"/>
        </w:rPr>
        <w:t>Compliance:</w:t>
      </w:r>
      <w:r w:rsidRPr="009A0641">
        <w:rPr>
          <w:rFonts w:ascii="Verdana" w:hAnsi="Verdana"/>
          <w:sz w:val="19"/>
          <w:szCs w:val="19"/>
        </w:rPr>
        <w:t xml:space="preserve"> The Trust will continue to comply with all relevant environmental legislation.  </w:t>
      </w:r>
    </w:p>
    <w:p w14:paraId="29E00A90" w14:textId="77777777" w:rsidR="00011C11" w:rsidRPr="009A0641" w:rsidRDefault="00011C11" w:rsidP="00011C11">
      <w:pPr>
        <w:spacing w:after="0" w:line="240" w:lineRule="auto"/>
        <w:rPr>
          <w:rFonts w:ascii="Verdana" w:hAnsi="Verdana"/>
          <w:b/>
          <w:sz w:val="16"/>
          <w:szCs w:val="16"/>
        </w:rPr>
      </w:pPr>
    </w:p>
    <w:p w14:paraId="1302110E" w14:textId="77777777" w:rsidR="00011C11" w:rsidRPr="009A0641" w:rsidRDefault="00011C11" w:rsidP="00011C11">
      <w:pPr>
        <w:spacing w:after="0" w:line="240" w:lineRule="auto"/>
        <w:rPr>
          <w:rFonts w:ascii="Verdana" w:hAnsi="Verdana"/>
          <w:b/>
          <w:sz w:val="19"/>
          <w:szCs w:val="19"/>
        </w:rPr>
      </w:pPr>
      <w:r w:rsidRPr="009A0641">
        <w:rPr>
          <w:rFonts w:ascii="Verdana" w:hAnsi="Verdana"/>
          <w:b/>
          <w:sz w:val="19"/>
          <w:szCs w:val="19"/>
        </w:rPr>
        <w:t>Continuing improvement</w:t>
      </w:r>
    </w:p>
    <w:p w14:paraId="5154F84A" w14:textId="77777777" w:rsidR="00011C11" w:rsidRPr="009A0641" w:rsidRDefault="00011C11" w:rsidP="00011C11">
      <w:pPr>
        <w:pStyle w:val="ListParagraph"/>
        <w:numPr>
          <w:ilvl w:val="0"/>
          <w:numId w:val="15"/>
        </w:numPr>
        <w:spacing w:after="0" w:line="240" w:lineRule="auto"/>
        <w:rPr>
          <w:rFonts w:ascii="Verdana" w:hAnsi="Verdana"/>
          <w:sz w:val="19"/>
          <w:szCs w:val="19"/>
        </w:rPr>
      </w:pPr>
      <w:r w:rsidRPr="009A0641">
        <w:rPr>
          <w:rFonts w:ascii="Verdana" w:hAnsi="Verdana"/>
          <w:sz w:val="19"/>
          <w:szCs w:val="19"/>
        </w:rPr>
        <w:t>Understand and monitor scope 1 &amp; 2 carbon emissions and work towards understanding our scope 3 emissions enabling targets to be set.</w:t>
      </w:r>
    </w:p>
    <w:p w14:paraId="43C5FD2F" w14:textId="77777777" w:rsidR="00011C11" w:rsidRPr="009A0641" w:rsidRDefault="00011C11" w:rsidP="00011C11">
      <w:pPr>
        <w:pStyle w:val="ListParagraph"/>
        <w:numPr>
          <w:ilvl w:val="0"/>
          <w:numId w:val="15"/>
        </w:numPr>
        <w:spacing w:after="0" w:line="240" w:lineRule="auto"/>
        <w:rPr>
          <w:rFonts w:ascii="Verdana" w:hAnsi="Verdana"/>
          <w:sz w:val="19"/>
          <w:szCs w:val="19"/>
        </w:rPr>
      </w:pPr>
      <w:r w:rsidRPr="009A0641">
        <w:rPr>
          <w:rFonts w:ascii="Verdana" w:hAnsi="Verdana"/>
          <w:sz w:val="19"/>
          <w:szCs w:val="19"/>
        </w:rPr>
        <w:t>Continually monitor and seek to improve energy performance.</w:t>
      </w:r>
    </w:p>
    <w:p w14:paraId="1D8EC6CC" w14:textId="77777777" w:rsidR="00011C11" w:rsidRPr="009A0641" w:rsidRDefault="00011C11" w:rsidP="00011C11">
      <w:pPr>
        <w:pStyle w:val="ListParagraph"/>
        <w:numPr>
          <w:ilvl w:val="0"/>
          <w:numId w:val="15"/>
        </w:numPr>
        <w:spacing w:after="0" w:line="240" w:lineRule="auto"/>
        <w:rPr>
          <w:rFonts w:ascii="Verdana" w:hAnsi="Verdana"/>
          <w:sz w:val="19"/>
          <w:szCs w:val="19"/>
        </w:rPr>
      </w:pPr>
      <w:r w:rsidRPr="009A0641">
        <w:rPr>
          <w:rFonts w:ascii="Verdana" w:hAnsi="Verdana"/>
          <w:sz w:val="19"/>
          <w:szCs w:val="19"/>
        </w:rPr>
        <w:t>Progress the project to install second life EV batteries to the solar array on the Collections Centre for power storage.</w:t>
      </w:r>
    </w:p>
    <w:p w14:paraId="096D47F8" w14:textId="77777777" w:rsidR="00011C11" w:rsidRPr="009A0641" w:rsidRDefault="00011C11" w:rsidP="00011C11">
      <w:pPr>
        <w:pStyle w:val="ListParagraph"/>
        <w:numPr>
          <w:ilvl w:val="0"/>
          <w:numId w:val="15"/>
        </w:numPr>
        <w:spacing w:after="0" w:line="240" w:lineRule="auto"/>
        <w:rPr>
          <w:rFonts w:ascii="Verdana" w:hAnsi="Verdana"/>
          <w:sz w:val="19"/>
          <w:szCs w:val="19"/>
        </w:rPr>
      </w:pPr>
      <w:r w:rsidRPr="009A0641">
        <w:rPr>
          <w:rFonts w:ascii="Verdana" w:hAnsi="Verdana"/>
          <w:sz w:val="19"/>
          <w:szCs w:val="19"/>
        </w:rPr>
        <w:t>Review and analyse metering of energy to help identify, justify &amp; improve usage.</w:t>
      </w:r>
    </w:p>
    <w:p w14:paraId="406EAFFD" w14:textId="77777777" w:rsidR="00011C11" w:rsidRPr="009A0641" w:rsidRDefault="00011C11" w:rsidP="00011C11">
      <w:pPr>
        <w:pStyle w:val="ListParagraph"/>
        <w:numPr>
          <w:ilvl w:val="0"/>
          <w:numId w:val="15"/>
        </w:numPr>
        <w:spacing w:after="0" w:line="240" w:lineRule="auto"/>
        <w:rPr>
          <w:rFonts w:ascii="Verdana" w:hAnsi="Verdana"/>
          <w:sz w:val="19"/>
          <w:szCs w:val="19"/>
        </w:rPr>
      </w:pPr>
      <w:r w:rsidRPr="009A0641">
        <w:rPr>
          <w:rFonts w:ascii="Verdana" w:hAnsi="Verdana"/>
          <w:sz w:val="19"/>
          <w:szCs w:val="19"/>
        </w:rPr>
        <w:t>Regular Environmental team meetings to increase employee awareness and encourage suggestions of energy saving/carbon reduction initiatives.</w:t>
      </w:r>
    </w:p>
    <w:p w14:paraId="71624DE8" w14:textId="77777777" w:rsidR="00011C11" w:rsidRPr="009A0641" w:rsidRDefault="00011C11" w:rsidP="00011C11">
      <w:pPr>
        <w:pStyle w:val="ListParagraph"/>
        <w:numPr>
          <w:ilvl w:val="0"/>
          <w:numId w:val="15"/>
        </w:numPr>
        <w:spacing w:after="0" w:line="240" w:lineRule="auto"/>
        <w:rPr>
          <w:rFonts w:ascii="Verdana" w:hAnsi="Verdana"/>
          <w:sz w:val="19"/>
          <w:szCs w:val="19"/>
        </w:rPr>
      </w:pPr>
      <w:r w:rsidRPr="009A0641">
        <w:rPr>
          <w:rFonts w:ascii="Verdana" w:hAnsi="Verdana"/>
          <w:sz w:val="19"/>
          <w:szCs w:val="19"/>
        </w:rPr>
        <w:t>Identify all business areas where savings and improvements can be made by involving all employees.</w:t>
      </w:r>
    </w:p>
    <w:p w14:paraId="6353A4AE" w14:textId="77777777" w:rsidR="00011C11" w:rsidRPr="009A0641" w:rsidRDefault="00011C11" w:rsidP="00011C11">
      <w:pPr>
        <w:pStyle w:val="ListParagraph"/>
        <w:numPr>
          <w:ilvl w:val="0"/>
          <w:numId w:val="15"/>
        </w:numPr>
        <w:spacing w:after="0" w:line="240" w:lineRule="auto"/>
        <w:rPr>
          <w:rFonts w:ascii="Verdana" w:hAnsi="Verdana"/>
          <w:sz w:val="19"/>
          <w:szCs w:val="19"/>
        </w:rPr>
      </w:pPr>
      <w:r w:rsidRPr="009A0641">
        <w:rPr>
          <w:rFonts w:ascii="Verdana" w:hAnsi="Verdana"/>
          <w:sz w:val="19"/>
          <w:szCs w:val="19"/>
        </w:rPr>
        <w:t>Communicate energy saving achievements to encourage continued involvement and commitment from all employees.</w:t>
      </w:r>
    </w:p>
    <w:p w14:paraId="1AE19A87" w14:textId="77777777" w:rsidR="00011C11" w:rsidRPr="009A0641" w:rsidRDefault="00011C11" w:rsidP="00011C11">
      <w:pPr>
        <w:pStyle w:val="ListParagraph"/>
        <w:numPr>
          <w:ilvl w:val="0"/>
          <w:numId w:val="15"/>
        </w:numPr>
        <w:spacing w:after="0" w:line="240" w:lineRule="auto"/>
        <w:rPr>
          <w:rFonts w:ascii="Verdana" w:hAnsi="Verdana"/>
          <w:sz w:val="20"/>
          <w:szCs w:val="20"/>
        </w:rPr>
      </w:pPr>
      <w:r w:rsidRPr="009A0641">
        <w:rPr>
          <w:rFonts w:ascii="Verdana" w:hAnsi="Verdana"/>
          <w:sz w:val="19"/>
          <w:szCs w:val="19"/>
        </w:rPr>
        <w:t>Improve or maintain accreditation standards.</w:t>
      </w:r>
    </w:p>
    <w:p w14:paraId="5BF1F56C" w14:textId="77777777" w:rsidR="00011C11" w:rsidRPr="009A0641" w:rsidRDefault="00011C11" w:rsidP="00011C11">
      <w:pPr>
        <w:spacing w:after="0" w:line="240" w:lineRule="auto"/>
        <w:rPr>
          <w:rFonts w:ascii="Verdana" w:hAnsi="Verdana"/>
          <w:b/>
          <w:sz w:val="16"/>
          <w:szCs w:val="16"/>
        </w:rPr>
      </w:pPr>
    </w:p>
    <w:p w14:paraId="6C611BE7" w14:textId="77777777" w:rsidR="00011C11" w:rsidRPr="009A0641" w:rsidRDefault="00011C11" w:rsidP="00011C11">
      <w:pPr>
        <w:spacing w:after="0" w:line="240" w:lineRule="auto"/>
        <w:rPr>
          <w:rFonts w:ascii="Verdana" w:hAnsi="Verdana"/>
          <w:b/>
          <w:bCs/>
        </w:rPr>
      </w:pPr>
      <w:r w:rsidRPr="009A0641">
        <w:rPr>
          <w:rFonts w:ascii="Verdana" w:hAnsi="Verdana"/>
          <w:b/>
          <w:bCs/>
        </w:rPr>
        <w:t>Review and Responsibilities</w:t>
      </w:r>
    </w:p>
    <w:p w14:paraId="64786DCB" w14:textId="77777777" w:rsidR="00011C11" w:rsidRPr="009A0641" w:rsidRDefault="00011C11" w:rsidP="00011C11">
      <w:pPr>
        <w:spacing w:after="0" w:line="240" w:lineRule="auto"/>
        <w:rPr>
          <w:rFonts w:ascii="Verdana" w:hAnsi="Verdana"/>
          <w:sz w:val="16"/>
          <w:szCs w:val="16"/>
        </w:rPr>
      </w:pPr>
    </w:p>
    <w:p w14:paraId="7B18EEC4" w14:textId="77777777" w:rsidR="00011C11" w:rsidRPr="009A0641" w:rsidRDefault="00011C11" w:rsidP="00011C11">
      <w:pPr>
        <w:spacing w:after="0" w:line="240" w:lineRule="auto"/>
        <w:rPr>
          <w:rFonts w:ascii="Verdana" w:hAnsi="Verdana"/>
          <w:sz w:val="19"/>
          <w:szCs w:val="19"/>
        </w:rPr>
      </w:pPr>
      <w:r w:rsidRPr="009A0641">
        <w:rPr>
          <w:rFonts w:ascii="Verdana" w:hAnsi="Verdana"/>
          <w:sz w:val="19"/>
          <w:szCs w:val="19"/>
        </w:rPr>
        <w:t>The British Motor Museum Head of Operations is responsible for ensuring that this environmental policy is implemented, however, all employees have a responsibility in their area to ensure that the aims and objectives of this policy are met.  This policy will be reviewed on an annual basis.</w:t>
      </w:r>
    </w:p>
    <w:p w14:paraId="068CD63C" w14:textId="77777777" w:rsidR="00011C11" w:rsidRPr="006A76E2" w:rsidRDefault="00011C11" w:rsidP="00011C11">
      <w:pPr>
        <w:spacing w:after="0" w:line="240" w:lineRule="auto"/>
        <w:rPr>
          <w:rFonts w:ascii="Verdana" w:hAnsi="Verdana"/>
          <w:sz w:val="16"/>
          <w:szCs w:val="16"/>
        </w:rPr>
      </w:pPr>
    </w:p>
    <w:p w14:paraId="6403672E" w14:textId="40451AF7" w:rsidR="00011C11" w:rsidRDefault="00011C11" w:rsidP="00011C11">
      <w:pPr>
        <w:spacing w:after="0" w:line="240" w:lineRule="auto"/>
        <w:rPr>
          <w:rFonts w:ascii="Verdana" w:hAnsi="Verdana"/>
          <w:sz w:val="19"/>
          <w:szCs w:val="19"/>
        </w:rPr>
      </w:pPr>
      <w:r w:rsidRPr="003F7877">
        <w:rPr>
          <w:rFonts w:ascii="Verdana" w:hAnsi="Verdana"/>
          <w:sz w:val="19"/>
          <w:szCs w:val="19"/>
        </w:rPr>
        <w:t>Th</w:t>
      </w:r>
      <w:r>
        <w:rPr>
          <w:rFonts w:ascii="Verdana" w:hAnsi="Verdana"/>
          <w:sz w:val="19"/>
          <w:szCs w:val="19"/>
        </w:rPr>
        <w:t>is</w:t>
      </w:r>
      <w:r w:rsidRPr="003F7877">
        <w:rPr>
          <w:rFonts w:ascii="Verdana" w:hAnsi="Verdana"/>
          <w:sz w:val="19"/>
          <w:szCs w:val="19"/>
        </w:rPr>
        <w:t xml:space="preserve"> policy will be presented to the Board for review and approval on an annual basis</w:t>
      </w:r>
      <w:r>
        <w:rPr>
          <w:rFonts w:ascii="Verdana" w:hAnsi="Verdana"/>
          <w:sz w:val="19"/>
          <w:szCs w:val="19"/>
        </w:rPr>
        <w:t>.</w:t>
      </w:r>
    </w:p>
    <w:p w14:paraId="719A3011" w14:textId="55D45458" w:rsidR="00011C11" w:rsidRDefault="00011C11" w:rsidP="00011C11">
      <w:pPr>
        <w:spacing w:after="0" w:line="240" w:lineRule="auto"/>
        <w:rPr>
          <w:rFonts w:ascii="Verdana" w:hAnsi="Verdana"/>
          <w:sz w:val="19"/>
          <w:szCs w:val="19"/>
        </w:rPr>
        <w:sectPr w:rsidR="00011C11" w:rsidSect="00D67AD9">
          <w:pgSz w:w="11906" w:h="16838"/>
          <w:pgMar w:top="1440" w:right="1440" w:bottom="1440" w:left="1440" w:header="708" w:footer="708" w:gutter="0"/>
          <w:cols w:space="708"/>
          <w:docGrid w:linePitch="360"/>
        </w:sectPr>
      </w:pPr>
    </w:p>
    <w:tbl>
      <w:tblPr>
        <w:tblStyle w:val="TableGrid"/>
        <w:tblW w:w="0" w:type="auto"/>
        <w:tblInd w:w="-5" w:type="dxa"/>
        <w:tblLayout w:type="fixed"/>
        <w:tblLook w:val="04A0" w:firstRow="1" w:lastRow="0" w:firstColumn="1" w:lastColumn="0" w:noHBand="0" w:noVBand="1"/>
      </w:tblPr>
      <w:tblGrid>
        <w:gridCol w:w="2405"/>
        <w:gridCol w:w="1843"/>
        <w:gridCol w:w="1701"/>
        <w:gridCol w:w="6379"/>
        <w:gridCol w:w="3060"/>
      </w:tblGrid>
      <w:tr w:rsidR="00011C11" w:rsidRPr="004C2F5C" w14:paraId="1B85A4BE" w14:textId="77777777" w:rsidTr="00011C11">
        <w:trPr>
          <w:trHeight w:val="305"/>
        </w:trPr>
        <w:tc>
          <w:tcPr>
            <w:tcW w:w="2405" w:type="dxa"/>
          </w:tcPr>
          <w:p w14:paraId="1CEFEBD9" w14:textId="77777777" w:rsidR="00011C11" w:rsidRPr="002C5413" w:rsidRDefault="00011C11" w:rsidP="00810E44">
            <w:pPr>
              <w:spacing w:after="0" w:line="240" w:lineRule="auto"/>
              <w:rPr>
                <w:rFonts w:ascii="Verdana" w:hAnsi="Verdana"/>
                <w:b/>
                <w:bCs/>
                <w:sz w:val="20"/>
                <w:szCs w:val="20"/>
              </w:rPr>
            </w:pPr>
            <w:r w:rsidRPr="002C5413">
              <w:rPr>
                <w:rFonts w:ascii="Verdana" w:hAnsi="Verdana"/>
                <w:b/>
                <w:bCs/>
                <w:sz w:val="20"/>
                <w:szCs w:val="20"/>
              </w:rPr>
              <w:lastRenderedPageBreak/>
              <w:t>Action:</w:t>
            </w:r>
          </w:p>
        </w:tc>
        <w:tc>
          <w:tcPr>
            <w:tcW w:w="1843" w:type="dxa"/>
          </w:tcPr>
          <w:p w14:paraId="3B37B235" w14:textId="77777777" w:rsidR="00011C11" w:rsidRPr="002C5413" w:rsidRDefault="00011C11" w:rsidP="00810E44">
            <w:pPr>
              <w:spacing w:after="0" w:line="240" w:lineRule="auto"/>
              <w:rPr>
                <w:rFonts w:ascii="Verdana" w:hAnsi="Verdana"/>
                <w:b/>
                <w:bCs/>
                <w:sz w:val="20"/>
                <w:szCs w:val="20"/>
              </w:rPr>
            </w:pPr>
            <w:r w:rsidRPr="002C5413">
              <w:rPr>
                <w:rFonts w:ascii="Verdana" w:hAnsi="Verdana"/>
                <w:b/>
                <w:bCs/>
                <w:sz w:val="20"/>
                <w:szCs w:val="20"/>
              </w:rPr>
              <w:t>Responsible person:</w:t>
            </w:r>
          </w:p>
        </w:tc>
        <w:tc>
          <w:tcPr>
            <w:tcW w:w="1701" w:type="dxa"/>
          </w:tcPr>
          <w:p w14:paraId="62BC74F1" w14:textId="77777777" w:rsidR="00011C11" w:rsidRPr="002C5413" w:rsidRDefault="00011C11" w:rsidP="00810E44">
            <w:pPr>
              <w:spacing w:after="0" w:line="240" w:lineRule="auto"/>
              <w:rPr>
                <w:rFonts w:ascii="Verdana" w:hAnsi="Verdana"/>
                <w:b/>
                <w:bCs/>
                <w:sz w:val="20"/>
                <w:szCs w:val="20"/>
              </w:rPr>
            </w:pPr>
            <w:r w:rsidRPr="002C5413">
              <w:rPr>
                <w:rFonts w:ascii="Verdana" w:hAnsi="Verdana"/>
                <w:b/>
                <w:bCs/>
                <w:sz w:val="20"/>
                <w:szCs w:val="20"/>
              </w:rPr>
              <w:t>Target completion date:</w:t>
            </w:r>
          </w:p>
        </w:tc>
        <w:tc>
          <w:tcPr>
            <w:tcW w:w="6379" w:type="dxa"/>
          </w:tcPr>
          <w:p w14:paraId="72DF2BA5" w14:textId="77777777" w:rsidR="00011C11" w:rsidRPr="002C5413" w:rsidRDefault="00011C11" w:rsidP="00810E44">
            <w:pPr>
              <w:spacing w:after="0" w:line="240" w:lineRule="auto"/>
              <w:rPr>
                <w:rFonts w:ascii="Verdana" w:hAnsi="Verdana"/>
                <w:b/>
                <w:bCs/>
                <w:sz w:val="20"/>
                <w:szCs w:val="20"/>
              </w:rPr>
            </w:pPr>
            <w:r w:rsidRPr="002C5413">
              <w:rPr>
                <w:rFonts w:ascii="Verdana" w:hAnsi="Verdana"/>
                <w:b/>
                <w:bCs/>
                <w:sz w:val="20"/>
                <w:szCs w:val="20"/>
              </w:rPr>
              <w:t xml:space="preserve">Notes: </w:t>
            </w:r>
          </w:p>
        </w:tc>
        <w:tc>
          <w:tcPr>
            <w:tcW w:w="3060" w:type="dxa"/>
          </w:tcPr>
          <w:p w14:paraId="769A60EF" w14:textId="77777777" w:rsidR="00011C11" w:rsidRPr="002C5413" w:rsidRDefault="00011C11" w:rsidP="00810E44">
            <w:pPr>
              <w:spacing w:after="0" w:line="240" w:lineRule="auto"/>
              <w:rPr>
                <w:rFonts w:ascii="Verdana" w:hAnsi="Verdana"/>
                <w:b/>
                <w:bCs/>
                <w:color w:val="FF0000"/>
                <w:sz w:val="20"/>
                <w:szCs w:val="20"/>
              </w:rPr>
            </w:pPr>
            <w:r w:rsidRPr="002C5413">
              <w:rPr>
                <w:rFonts w:ascii="Verdana" w:hAnsi="Verdana"/>
                <w:b/>
                <w:bCs/>
                <w:sz w:val="20"/>
                <w:szCs w:val="20"/>
              </w:rPr>
              <w:t>Completed / Outcome:</w:t>
            </w:r>
          </w:p>
        </w:tc>
      </w:tr>
      <w:tr w:rsidR="00011C11" w:rsidRPr="004C2F5C" w14:paraId="7257635A" w14:textId="77777777" w:rsidTr="00011C11">
        <w:trPr>
          <w:trHeight w:val="305"/>
        </w:trPr>
        <w:tc>
          <w:tcPr>
            <w:tcW w:w="2405" w:type="dxa"/>
          </w:tcPr>
          <w:p w14:paraId="710DC07F"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Utilise external consultant to review activities to enable accurate carbon footprint to be produced and understood</w:t>
            </w:r>
          </w:p>
        </w:tc>
        <w:tc>
          <w:tcPr>
            <w:tcW w:w="1843" w:type="dxa"/>
          </w:tcPr>
          <w:p w14:paraId="379EC02C"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Facilities Administrator</w:t>
            </w:r>
          </w:p>
        </w:tc>
        <w:tc>
          <w:tcPr>
            <w:tcW w:w="1701" w:type="dxa"/>
          </w:tcPr>
          <w:p w14:paraId="603F3186" w14:textId="77777777" w:rsidR="00011C11" w:rsidRPr="002C5413" w:rsidRDefault="00011C11" w:rsidP="00810E44">
            <w:pPr>
              <w:spacing w:after="0" w:line="240" w:lineRule="auto"/>
              <w:rPr>
                <w:rFonts w:ascii="Verdana" w:hAnsi="Verdana"/>
                <w:sz w:val="20"/>
                <w:szCs w:val="20"/>
              </w:rPr>
            </w:pPr>
          </w:p>
          <w:p w14:paraId="735BBDD7"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 xml:space="preserve">Q3 2024 </w:t>
            </w:r>
          </w:p>
        </w:tc>
        <w:tc>
          <w:tcPr>
            <w:tcW w:w="6379" w:type="dxa"/>
          </w:tcPr>
          <w:p w14:paraId="3D952433"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Understand scope 1 &amp; 2 emissions to enable an accurate carbon footprint to be produced.  Moving forward into 2025 be aware of information required and collate to evaluate scope 3 emissions for 2025/6.</w:t>
            </w:r>
          </w:p>
          <w:p w14:paraId="218ECAFB" w14:textId="1FA0AC9A" w:rsidR="00011C11" w:rsidRPr="002C5413" w:rsidRDefault="00011C11" w:rsidP="00810E44">
            <w:pPr>
              <w:spacing w:after="0" w:line="240" w:lineRule="auto"/>
              <w:rPr>
                <w:rFonts w:ascii="Verdana" w:hAnsi="Verdana"/>
                <w:sz w:val="20"/>
                <w:szCs w:val="20"/>
              </w:rPr>
            </w:pPr>
          </w:p>
        </w:tc>
        <w:tc>
          <w:tcPr>
            <w:tcW w:w="3060" w:type="dxa"/>
          </w:tcPr>
          <w:p w14:paraId="7E0DCBFB" w14:textId="22C5D68E" w:rsidR="00011C11" w:rsidRPr="002C5413" w:rsidRDefault="00923B17" w:rsidP="00810E44">
            <w:pPr>
              <w:spacing w:after="0" w:line="240" w:lineRule="auto"/>
              <w:rPr>
                <w:rFonts w:ascii="Verdana" w:hAnsi="Verdana"/>
                <w:sz w:val="20"/>
                <w:szCs w:val="20"/>
              </w:rPr>
            </w:pPr>
            <w:r w:rsidRPr="002C5413">
              <w:rPr>
                <w:rFonts w:ascii="Verdana" w:hAnsi="Verdana"/>
                <w:sz w:val="20"/>
                <w:szCs w:val="20"/>
              </w:rPr>
              <w:t>July ‘24 – Coral Energy Carbon Footprint report completed.</w:t>
            </w:r>
          </w:p>
        </w:tc>
      </w:tr>
      <w:tr w:rsidR="00011C11" w:rsidRPr="004C2F5C" w14:paraId="0110EDE6" w14:textId="77777777" w:rsidTr="00011C11">
        <w:trPr>
          <w:trHeight w:val="305"/>
        </w:trPr>
        <w:tc>
          <w:tcPr>
            <w:tcW w:w="2405" w:type="dxa"/>
          </w:tcPr>
          <w:p w14:paraId="1D8B679D"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Communication – look at better ways to communicate our environmental and sustainability practices both internally and externally</w:t>
            </w:r>
          </w:p>
        </w:tc>
        <w:tc>
          <w:tcPr>
            <w:tcW w:w="1843" w:type="dxa"/>
          </w:tcPr>
          <w:p w14:paraId="0812A584"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Head of Operations / Facilities Administrator / Marketing Assistant</w:t>
            </w:r>
          </w:p>
        </w:tc>
        <w:tc>
          <w:tcPr>
            <w:tcW w:w="1701" w:type="dxa"/>
          </w:tcPr>
          <w:p w14:paraId="4E646443" w14:textId="77777777" w:rsidR="00011C11" w:rsidRPr="002C5413" w:rsidRDefault="00011C11" w:rsidP="00810E44">
            <w:pPr>
              <w:spacing w:after="0" w:line="240" w:lineRule="auto"/>
              <w:rPr>
                <w:rFonts w:ascii="Verdana" w:hAnsi="Verdana"/>
                <w:sz w:val="20"/>
                <w:szCs w:val="20"/>
              </w:rPr>
            </w:pPr>
          </w:p>
          <w:p w14:paraId="7C6737BA"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Commence Q1 2024</w:t>
            </w:r>
          </w:p>
        </w:tc>
        <w:tc>
          <w:tcPr>
            <w:tcW w:w="6379" w:type="dxa"/>
          </w:tcPr>
          <w:p w14:paraId="1ED1CF29" w14:textId="3FBE60D4" w:rsidR="00011C11" w:rsidRPr="002C5413" w:rsidRDefault="00011C11" w:rsidP="00810E44">
            <w:pPr>
              <w:pStyle w:val="ListParagraph"/>
              <w:numPr>
                <w:ilvl w:val="0"/>
                <w:numId w:val="16"/>
              </w:numPr>
              <w:spacing w:after="0" w:line="240" w:lineRule="auto"/>
              <w:rPr>
                <w:rFonts w:ascii="Verdana" w:hAnsi="Verdana"/>
                <w:sz w:val="20"/>
                <w:szCs w:val="20"/>
              </w:rPr>
            </w:pPr>
            <w:r w:rsidRPr="002C5413">
              <w:rPr>
                <w:rFonts w:ascii="Verdana" w:hAnsi="Verdana"/>
                <w:sz w:val="20"/>
                <w:szCs w:val="20"/>
              </w:rPr>
              <w:t>To encourage continued involvement &amp; commitment from all employees</w:t>
            </w:r>
            <w:r w:rsidR="000A6CA7" w:rsidRPr="002C5413">
              <w:rPr>
                <w:rFonts w:ascii="Verdana" w:hAnsi="Verdana"/>
                <w:sz w:val="20"/>
                <w:szCs w:val="20"/>
              </w:rPr>
              <w:t xml:space="preserve"> -</w:t>
            </w:r>
            <w:r w:rsidRPr="002C5413">
              <w:rPr>
                <w:rFonts w:ascii="Verdana" w:hAnsi="Verdana"/>
                <w:sz w:val="20"/>
                <w:szCs w:val="20"/>
              </w:rPr>
              <w:t xml:space="preserve"> internal communication to be shared on a quarterly basis.</w:t>
            </w:r>
          </w:p>
          <w:p w14:paraId="720523A5" w14:textId="20FBBDC3" w:rsidR="00011C11" w:rsidRPr="002C5413" w:rsidRDefault="00011C11" w:rsidP="00810E44">
            <w:pPr>
              <w:pStyle w:val="ListParagraph"/>
              <w:numPr>
                <w:ilvl w:val="0"/>
                <w:numId w:val="16"/>
              </w:numPr>
              <w:spacing w:after="0" w:line="240" w:lineRule="auto"/>
              <w:rPr>
                <w:rFonts w:ascii="Verdana" w:hAnsi="Verdana"/>
                <w:sz w:val="20"/>
                <w:szCs w:val="20"/>
              </w:rPr>
            </w:pPr>
            <w:r w:rsidRPr="002C5413">
              <w:rPr>
                <w:rFonts w:ascii="Verdana" w:hAnsi="Verdana"/>
                <w:sz w:val="20"/>
                <w:szCs w:val="20"/>
              </w:rPr>
              <w:t>Keep up to date with key environmental days e.g</w:t>
            </w:r>
            <w:r w:rsidR="00834C80">
              <w:rPr>
                <w:rFonts w:ascii="Verdana" w:hAnsi="Verdana"/>
                <w:sz w:val="20"/>
                <w:szCs w:val="20"/>
              </w:rPr>
              <w:t>.</w:t>
            </w:r>
            <w:r w:rsidRPr="002C5413">
              <w:rPr>
                <w:rFonts w:ascii="Verdana" w:hAnsi="Verdana"/>
                <w:sz w:val="20"/>
                <w:szCs w:val="20"/>
              </w:rPr>
              <w:t xml:space="preserve"> Veganuary, Global Recycling Day etc and ensure social media content reflecting how we are getting behind these initiatives showcasing BMM’s intentions and </w:t>
            </w:r>
            <w:r w:rsidR="000A6CA7" w:rsidRPr="002C5413">
              <w:rPr>
                <w:rFonts w:ascii="Verdana" w:hAnsi="Verdana"/>
                <w:sz w:val="20"/>
                <w:szCs w:val="20"/>
              </w:rPr>
              <w:t>values.</w:t>
            </w:r>
          </w:p>
          <w:p w14:paraId="4A356348" w14:textId="49E39FEC" w:rsidR="00011C11" w:rsidRPr="002C5413" w:rsidRDefault="000A6CA7" w:rsidP="002C5413">
            <w:pPr>
              <w:pStyle w:val="ListParagraph"/>
              <w:numPr>
                <w:ilvl w:val="0"/>
                <w:numId w:val="16"/>
              </w:numPr>
              <w:spacing w:after="0" w:line="240" w:lineRule="auto"/>
              <w:rPr>
                <w:rFonts w:ascii="Verdana" w:hAnsi="Verdana"/>
                <w:sz w:val="20"/>
                <w:szCs w:val="20"/>
              </w:rPr>
            </w:pPr>
            <w:r w:rsidRPr="002C5413">
              <w:rPr>
                <w:rFonts w:ascii="Verdana" w:hAnsi="Verdana"/>
                <w:sz w:val="20"/>
                <w:szCs w:val="20"/>
              </w:rPr>
              <w:t>Ongoing social media messaging and regular review and if required update of website information</w:t>
            </w:r>
          </w:p>
        </w:tc>
        <w:tc>
          <w:tcPr>
            <w:tcW w:w="3060" w:type="dxa"/>
          </w:tcPr>
          <w:p w14:paraId="7D2EA22F" w14:textId="77777777" w:rsidR="00011C11" w:rsidRPr="002C5413" w:rsidRDefault="00011C11" w:rsidP="00810E44">
            <w:pPr>
              <w:spacing w:after="0" w:line="240" w:lineRule="auto"/>
              <w:rPr>
                <w:rFonts w:ascii="Verdana" w:hAnsi="Verdana"/>
                <w:sz w:val="20"/>
                <w:szCs w:val="20"/>
              </w:rPr>
            </w:pPr>
          </w:p>
        </w:tc>
      </w:tr>
      <w:tr w:rsidR="00011C11" w:rsidRPr="004C2F5C" w14:paraId="5CB398A7" w14:textId="77777777" w:rsidTr="00011C11">
        <w:trPr>
          <w:trHeight w:val="305"/>
        </w:trPr>
        <w:tc>
          <w:tcPr>
            <w:tcW w:w="2405" w:type="dxa"/>
          </w:tcPr>
          <w:p w14:paraId="018337BF" w14:textId="56F7CBBB"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Packaging waste</w:t>
            </w:r>
            <w:r w:rsidR="000A6CA7" w:rsidRPr="002C5413">
              <w:rPr>
                <w:rFonts w:ascii="Verdana" w:hAnsi="Verdana"/>
                <w:sz w:val="20"/>
                <w:szCs w:val="20"/>
              </w:rPr>
              <w:t xml:space="preserve"> - </w:t>
            </w:r>
          </w:p>
          <w:p w14:paraId="21FE4DCA"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Review and understand the packaging received and how this can be minimised</w:t>
            </w:r>
          </w:p>
        </w:tc>
        <w:tc>
          <w:tcPr>
            <w:tcW w:w="1843" w:type="dxa"/>
          </w:tcPr>
          <w:p w14:paraId="33FB1496" w14:textId="6D8BCD57" w:rsidR="00011C11" w:rsidRPr="002C5413" w:rsidRDefault="000A6CA7" w:rsidP="00810E44">
            <w:pPr>
              <w:spacing w:after="0" w:line="240" w:lineRule="auto"/>
              <w:rPr>
                <w:rFonts w:ascii="Verdana" w:hAnsi="Verdana"/>
                <w:sz w:val="20"/>
                <w:szCs w:val="20"/>
              </w:rPr>
            </w:pPr>
            <w:r w:rsidRPr="002C5413">
              <w:rPr>
                <w:rFonts w:ascii="Verdana" w:hAnsi="Verdana"/>
                <w:sz w:val="20"/>
                <w:szCs w:val="20"/>
              </w:rPr>
              <w:t>Head of Operations / Head Chef / Gift Shop Retail Officer</w:t>
            </w:r>
          </w:p>
        </w:tc>
        <w:tc>
          <w:tcPr>
            <w:tcW w:w="1701" w:type="dxa"/>
          </w:tcPr>
          <w:p w14:paraId="425193A6" w14:textId="709EEEED" w:rsidR="00011C11" w:rsidRPr="002C5413" w:rsidRDefault="000A6CA7" w:rsidP="00810E44">
            <w:pPr>
              <w:spacing w:after="0" w:line="240" w:lineRule="auto"/>
              <w:rPr>
                <w:rFonts w:ascii="Verdana" w:hAnsi="Verdana"/>
                <w:sz w:val="20"/>
                <w:szCs w:val="20"/>
              </w:rPr>
            </w:pPr>
            <w:r w:rsidRPr="002C5413">
              <w:rPr>
                <w:rFonts w:ascii="Verdana" w:hAnsi="Verdana"/>
                <w:sz w:val="20"/>
                <w:szCs w:val="20"/>
              </w:rPr>
              <w:t>Q3-4</w:t>
            </w:r>
          </w:p>
        </w:tc>
        <w:tc>
          <w:tcPr>
            <w:tcW w:w="6379" w:type="dxa"/>
          </w:tcPr>
          <w:p w14:paraId="0B64E8FB" w14:textId="0FC9F751" w:rsidR="00011C11" w:rsidRPr="002C5413" w:rsidRDefault="000A6CA7" w:rsidP="00810E44">
            <w:pPr>
              <w:spacing w:after="0" w:line="240" w:lineRule="auto"/>
              <w:rPr>
                <w:rFonts w:ascii="Verdana" w:hAnsi="Verdana"/>
                <w:sz w:val="20"/>
                <w:szCs w:val="20"/>
              </w:rPr>
            </w:pPr>
            <w:r w:rsidRPr="002C5413">
              <w:rPr>
                <w:rFonts w:ascii="Verdana" w:hAnsi="Verdana"/>
                <w:sz w:val="20"/>
                <w:szCs w:val="20"/>
              </w:rPr>
              <w:t>Ability to reduce packaging received into the business which reduces waste and waste costs.</w:t>
            </w:r>
          </w:p>
          <w:p w14:paraId="6CAD9F2D" w14:textId="7B3F63F4" w:rsidR="000A6CA7" w:rsidRPr="002C5413" w:rsidRDefault="000A6CA7" w:rsidP="000A6CA7">
            <w:pPr>
              <w:pStyle w:val="ListParagraph"/>
              <w:numPr>
                <w:ilvl w:val="0"/>
                <w:numId w:val="17"/>
              </w:numPr>
              <w:spacing w:after="0" w:line="240" w:lineRule="auto"/>
              <w:rPr>
                <w:rFonts w:ascii="Verdana" w:hAnsi="Verdana"/>
                <w:sz w:val="20"/>
                <w:szCs w:val="20"/>
              </w:rPr>
            </w:pPr>
            <w:r w:rsidRPr="002C5413">
              <w:rPr>
                <w:rFonts w:ascii="Verdana" w:hAnsi="Verdana"/>
                <w:sz w:val="20"/>
                <w:szCs w:val="20"/>
              </w:rPr>
              <w:t>Review orders and request minimal packaging from suppliers for delivery.</w:t>
            </w:r>
          </w:p>
          <w:p w14:paraId="3C23E6ED" w14:textId="2DA4AE53" w:rsidR="000A6CA7" w:rsidRPr="002C5413" w:rsidRDefault="000A6CA7" w:rsidP="000A6CA7">
            <w:pPr>
              <w:pStyle w:val="ListParagraph"/>
              <w:numPr>
                <w:ilvl w:val="0"/>
                <w:numId w:val="17"/>
              </w:numPr>
              <w:spacing w:after="0" w:line="240" w:lineRule="auto"/>
              <w:rPr>
                <w:rFonts w:ascii="Verdana" w:hAnsi="Verdana"/>
                <w:sz w:val="20"/>
                <w:szCs w:val="20"/>
              </w:rPr>
            </w:pPr>
            <w:r w:rsidRPr="002C5413">
              <w:rPr>
                <w:rFonts w:ascii="Verdana" w:hAnsi="Verdana"/>
                <w:sz w:val="20"/>
                <w:szCs w:val="20"/>
              </w:rPr>
              <w:t>Can deliveries come in fewer boxes?</w:t>
            </w:r>
          </w:p>
          <w:p w14:paraId="4E9A1EA2" w14:textId="681C32BD" w:rsidR="000A6CA7" w:rsidRPr="002C5413" w:rsidRDefault="00D67AD9" w:rsidP="00D67AD9">
            <w:pPr>
              <w:pStyle w:val="ListParagraph"/>
              <w:numPr>
                <w:ilvl w:val="0"/>
                <w:numId w:val="17"/>
              </w:numPr>
              <w:spacing w:after="0" w:line="240" w:lineRule="auto"/>
              <w:rPr>
                <w:rFonts w:ascii="Verdana" w:hAnsi="Verdana"/>
                <w:sz w:val="20"/>
                <w:szCs w:val="20"/>
              </w:rPr>
            </w:pPr>
            <w:r w:rsidRPr="002C5413">
              <w:rPr>
                <w:rFonts w:ascii="Verdana" w:hAnsi="Verdana"/>
                <w:sz w:val="20"/>
                <w:szCs w:val="20"/>
              </w:rPr>
              <w:t>Elimination of packaging wherever possible</w:t>
            </w:r>
          </w:p>
        </w:tc>
        <w:tc>
          <w:tcPr>
            <w:tcW w:w="3060" w:type="dxa"/>
          </w:tcPr>
          <w:p w14:paraId="09960E69" w14:textId="77777777" w:rsidR="00011C11" w:rsidRPr="002C5413" w:rsidRDefault="00011C11" w:rsidP="00810E44">
            <w:pPr>
              <w:spacing w:after="0" w:line="240" w:lineRule="auto"/>
              <w:rPr>
                <w:rFonts w:ascii="Verdana" w:hAnsi="Verdana"/>
                <w:b/>
                <w:bCs/>
                <w:sz w:val="20"/>
                <w:szCs w:val="20"/>
              </w:rPr>
            </w:pPr>
          </w:p>
        </w:tc>
      </w:tr>
      <w:tr w:rsidR="00011C11" w:rsidRPr="004C2F5C" w14:paraId="21949E4A" w14:textId="77777777" w:rsidTr="00011C11">
        <w:trPr>
          <w:trHeight w:val="305"/>
        </w:trPr>
        <w:tc>
          <w:tcPr>
            <w:tcW w:w="2405" w:type="dxa"/>
          </w:tcPr>
          <w:p w14:paraId="70F41595"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Investigate how we can report on environmental effects of each event held on site and encourage low &amp; zero carbon activities</w:t>
            </w:r>
          </w:p>
        </w:tc>
        <w:tc>
          <w:tcPr>
            <w:tcW w:w="1843" w:type="dxa"/>
          </w:tcPr>
          <w:p w14:paraId="5EECE9F1"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Head of Operations / Facilities Administrator / Bookings Manager</w:t>
            </w:r>
          </w:p>
        </w:tc>
        <w:tc>
          <w:tcPr>
            <w:tcW w:w="1701" w:type="dxa"/>
          </w:tcPr>
          <w:p w14:paraId="41D7A349"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Q4 2023</w:t>
            </w:r>
          </w:p>
        </w:tc>
        <w:tc>
          <w:tcPr>
            <w:tcW w:w="6379" w:type="dxa"/>
          </w:tcPr>
          <w:p w14:paraId="2548F2BC" w14:textId="77777777" w:rsidR="00011C11" w:rsidRPr="002C5413" w:rsidRDefault="00011C11" w:rsidP="00810E44">
            <w:pPr>
              <w:spacing w:after="0" w:line="240" w:lineRule="auto"/>
              <w:rPr>
                <w:rFonts w:ascii="Verdana" w:hAnsi="Verdana" w:cs="Arial"/>
                <w:color w:val="000000"/>
                <w:sz w:val="20"/>
                <w:szCs w:val="20"/>
              </w:rPr>
            </w:pPr>
            <w:r w:rsidRPr="002C5413">
              <w:rPr>
                <w:rFonts w:ascii="Verdana" w:hAnsi="Verdana" w:cs="Arial"/>
                <w:color w:val="000000"/>
                <w:sz w:val="20"/>
                <w:szCs w:val="20"/>
              </w:rPr>
              <w:t>This may include attendance figures, m2 of room used, length of event, resources used e.g., electricity, water, food consumed, waste produced, mileage travelled by delegates &amp; type of transport.</w:t>
            </w:r>
          </w:p>
          <w:p w14:paraId="3E37C71D" w14:textId="77777777" w:rsidR="00D67AD9" w:rsidRPr="002C5413" w:rsidRDefault="00D67AD9" w:rsidP="00810E44">
            <w:pPr>
              <w:spacing w:after="0" w:line="240" w:lineRule="auto"/>
              <w:rPr>
                <w:rFonts w:ascii="Verdana" w:hAnsi="Verdana" w:cs="Arial"/>
                <w:color w:val="000000"/>
                <w:sz w:val="20"/>
                <w:szCs w:val="20"/>
              </w:rPr>
            </w:pPr>
          </w:p>
          <w:p w14:paraId="089FEE1B" w14:textId="70AA9374" w:rsidR="00D67AD9" w:rsidRPr="002C5413" w:rsidRDefault="00D67AD9" w:rsidP="00810E44">
            <w:pPr>
              <w:spacing w:after="0" w:line="240" w:lineRule="auto"/>
              <w:rPr>
                <w:rFonts w:ascii="Verdana" w:hAnsi="Verdana"/>
                <w:sz w:val="20"/>
                <w:szCs w:val="20"/>
              </w:rPr>
            </w:pPr>
            <w:r w:rsidRPr="002C5413">
              <w:rPr>
                <w:rFonts w:ascii="Verdana" w:hAnsi="Verdana" w:cs="Arial"/>
                <w:color w:val="000000"/>
                <w:sz w:val="20"/>
                <w:szCs w:val="20"/>
              </w:rPr>
              <w:t>Tree-V to continue to be encouraged for all corporate events and results reported</w:t>
            </w:r>
          </w:p>
        </w:tc>
        <w:tc>
          <w:tcPr>
            <w:tcW w:w="3060" w:type="dxa"/>
          </w:tcPr>
          <w:p w14:paraId="7A7E3954" w14:textId="77777777" w:rsidR="00011C11" w:rsidRPr="002C5413" w:rsidRDefault="00011C11" w:rsidP="00810E44">
            <w:pPr>
              <w:spacing w:after="0" w:line="240" w:lineRule="auto"/>
              <w:rPr>
                <w:rFonts w:ascii="Verdana" w:hAnsi="Verdana"/>
                <w:sz w:val="20"/>
                <w:szCs w:val="20"/>
              </w:rPr>
            </w:pPr>
          </w:p>
          <w:p w14:paraId="576A3C35" w14:textId="77777777" w:rsidR="00011C11" w:rsidRPr="002C5413" w:rsidRDefault="00011C11" w:rsidP="00810E44">
            <w:pPr>
              <w:spacing w:after="0" w:line="240" w:lineRule="auto"/>
              <w:rPr>
                <w:rFonts w:ascii="Verdana" w:hAnsi="Verdana"/>
                <w:sz w:val="20"/>
                <w:szCs w:val="20"/>
              </w:rPr>
            </w:pPr>
          </w:p>
        </w:tc>
      </w:tr>
      <w:tr w:rsidR="00011C11" w:rsidRPr="004C2F5C" w14:paraId="6DEB1CC0" w14:textId="77777777" w:rsidTr="00011C11">
        <w:trPr>
          <w:trHeight w:val="806"/>
        </w:trPr>
        <w:tc>
          <w:tcPr>
            <w:tcW w:w="2405" w:type="dxa"/>
          </w:tcPr>
          <w:p w14:paraId="5D8938F9"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 xml:space="preserve">Install screens in public areas to highlight energy usage on site </w:t>
            </w:r>
          </w:p>
        </w:tc>
        <w:tc>
          <w:tcPr>
            <w:tcW w:w="1843" w:type="dxa"/>
          </w:tcPr>
          <w:p w14:paraId="745B9C38" w14:textId="77777777" w:rsidR="00011C11" w:rsidRPr="002C5413" w:rsidRDefault="00011C11" w:rsidP="00810E44">
            <w:pPr>
              <w:spacing w:after="0" w:line="240" w:lineRule="auto"/>
              <w:rPr>
                <w:rFonts w:ascii="Verdana" w:hAnsi="Verdana"/>
                <w:color w:val="FF0000"/>
                <w:sz w:val="20"/>
                <w:szCs w:val="20"/>
              </w:rPr>
            </w:pPr>
            <w:r w:rsidRPr="002C5413">
              <w:rPr>
                <w:rFonts w:ascii="Verdana" w:hAnsi="Verdana"/>
                <w:sz w:val="20"/>
                <w:szCs w:val="20"/>
              </w:rPr>
              <w:t>Head of Operations / IT</w:t>
            </w:r>
          </w:p>
        </w:tc>
        <w:tc>
          <w:tcPr>
            <w:tcW w:w="1701" w:type="dxa"/>
          </w:tcPr>
          <w:p w14:paraId="79850288"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TBC</w:t>
            </w:r>
          </w:p>
        </w:tc>
        <w:tc>
          <w:tcPr>
            <w:tcW w:w="6379" w:type="dxa"/>
          </w:tcPr>
          <w:p w14:paraId="7EBF14B6" w14:textId="123ADF99" w:rsidR="00011C11" w:rsidRPr="002C5413" w:rsidRDefault="00011C11" w:rsidP="00810E44">
            <w:pPr>
              <w:spacing w:after="0" w:line="240" w:lineRule="auto"/>
              <w:rPr>
                <w:rFonts w:ascii="Verdana" w:hAnsi="Verdana"/>
                <w:sz w:val="20"/>
                <w:szCs w:val="20"/>
              </w:rPr>
            </w:pPr>
            <w:r w:rsidRPr="002C5413">
              <w:rPr>
                <w:rFonts w:ascii="Verdana" w:hAnsi="Verdana" w:cs="Arial"/>
                <w:color w:val="000000"/>
                <w:sz w:val="20"/>
                <w:szCs w:val="20"/>
              </w:rPr>
              <w:t xml:space="preserve">For use in high traffic areas such as conference areas/breakout areas, gallery to inform &amp; encourage guests to reduce water, waste, energy.  Compare usage to real life examples </w:t>
            </w:r>
            <w:r w:rsidRPr="002C5413">
              <w:rPr>
                <w:rFonts w:ascii="Verdana" w:hAnsi="Verdana" w:cs="Arial"/>
                <w:i/>
                <w:iCs/>
                <w:color w:val="000000"/>
                <w:sz w:val="20"/>
                <w:szCs w:val="20"/>
              </w:rPr>
              <w:t>e.g. the amount of energy we saved last month was enough to power …. No. of electric vehicles</w:t>
            </w:r>
            <w:r w:rsidR="00D67AD9" w:rsidRPr="002C5413">
              <w:rPr>
                <w:rFonts w:ascii="Verdana" w:hAnsi="Verdana" w:cs="Arial"/>
                <w:i/>
                <w:iCs/>
                <w:color w:val="000000"/>
                <w:sz w:val="20"/>
                <w:szCs w:val="20"/>
              </w:rPr>
              <w:t xml:space="preserve"> for x number of days etc</w:t>
            </w:r>
          </w:p>
        </w:tc>
        <w:tc>
          <w:tcPr>
            <w:tcW w:w="3060" w:type="dxa"/>
          </w:tcPr>
          <w:p w14:paraId="038A8D52" w14:textId="77777777" w:rsidR="00011C11" w:rsidRPr="002C5413" w:rsidRDefault="00011C11" w:rsidP="00810E44">
            <w:pPr>
              <w:spacing w:after="0" w:line="240" w:lineRule="auto"/>
              <w:rPr>
                <w:rFonts w:ascii="Verdana" w:hAnsi="Verdana"/>
                <w:sz w:val="20"/>
                <w:szCs w:val="20"/>
              </w:rPr>
            </w:pPr>
          </w:p>
          <w:p w14:paraId="755C385C" w14:textId="77777777" w:rsidR="00011C11" w:rsidRPr="002C5413" w:rsidRDefault="00011C11" w:rsidP="00810E44">
            <w:pPr>
              <w:spacing w:after="0" w:line="240" w:lineRule="auto"/>
              <w:rPr>
                <w:rFonts w:ascii="Verdana" w:hAnsi="Verdana"/>
                <w:sz w:val="20"/>
                <w:szCs w:val="20"/>
              </w:rPr>
            </w:pPr>
          </w:p>
        </w:tc>
      </w:tr>
      <w:tr w:rsidR="00011C11" w:rsidRPr="004C2F5C" w14:paraId="0562BC36" w14:textId="77777777" w:rsidTr="00011C11">
        <w:trPr>
          <w:trHeight w:val="305"/>
        </w:trPr>
        <w:tc>
          <w:tcPr>
            <w:tcW w:w="2405" w:type="dxa"/>
          </w:tcPr>
          <w:p w14:paraId="6FBAF15A"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 xml:space="preserve">Procurement – Investigate how best to screen suppliers </w:t>
            </w:r>
            <w:r w:rsidRPr="002C5413">
              <w:rPr>
                <w:rFonts w:ascii="Verdana" w:hAnsi="Verdana"/>
                <w:sz w:val="20"/>
                <w:szCs w:val="20"/>
              </w:rPr>
              <w:lastRenderedPageBreak/>
              <w:t xml:space="preserve">for green credentials and challenge any environmental claims </w:t>
            </w:r>
          </w:p>
        </w:tc>
        <w:tc>
          <w:tcPr>
            <w:tcW w:w="1843" w:type="dxa"/>
          </w:tcPr>
          <w:p w14:paraId="71C9F06B"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lastRenderedPageBreak/>
              <w:t xml:space="preserve">Facilities Administrator / </w:t>
            </w:r>
            <w:r w:rsidRPr="002C5413">
              <w:rPr>
                <w:rFonts w:ascii="Verdana" w:hAnsi="Verdana"/>
                <w:sz w:val="20"/>
                <w:szCs w:val="20"/>
              </w:rPr>
              <w:lastRenderedPageBreak/>
              <w:t>Finance Assistant</w:t>
            </w:r>
          </w:p>
        </w:tc>
        <w:tc>
          <w:tcPr>
            <w:tcW w:w="1701" w:type="dxa"/>
          </w:tcPr>
          <w:p w14:paraId="6B193A45"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lastRenderedPageBreak/>
              <w:t>Q2-3</w:t>
            </w:r>
          </w:p>
        </w:tc>
        <w:tc>
          <w:tcPr>
            <w:tcW w:w="6379" w:type="dxa"/>
          </w:tcPr>
          <w:p w14:paraId="645BE1FC" w14:textId="09435187" w:rsidR="00011C11" w:rsidRPr="002C5413" w:rsidRDefault="00011C11" w:rsidP="002C5413">
            <w:pPr>
              <w:spacing w:after="0" w:line="240" w:lineRule="auto"/>
              <w:rPr>
                <w:rFonts w:ascii="Verdana" w:hAnsi="Verdana"/>
                <w:sz w:val="20"/>
                <w:szCs w:val="20"/>
              </w:rPr>
            </w:pPr>
            <w:r w:rsidRPr="002C5413">
              <w:rPr>
                <w:rFonts w:ascii="Verdana" w:hAnsi="Verdana" w:cs="Arial"/>
                <w:sz w:val="20"/>
                <w:szCs w:val="20"/>
              </w:rPr>
              <w:t xml:space="preserve">Ensure the procurement of all goods and services is undertaken in as environmentally sensitive manner as possible with suppliers who share our environmental values, </w:t>
            </w:r>
            <w:r w:rsidRPr="002C5413">
              <w:rPr>
                <w:rFonts w:ascii="Verdana" w:hAnsi="Verdana" w:cs="Arial"/>
                <w:sz w:val="20"/>
                <w:szCs w:val="20"/>
              </w:rPr>
              <w:lastRenderedPageBreak/>
              <w:t xml:space="preserve">utilising local suppliers wherever possible.  Continue to purchase seasonal and local produce via our catering procurement process.  Request evidence to support claims </w:t>
            </w:r>
          </w:p>
        </w:tc>
        <w:tc>
          <w:tcPr>
            <w:tcW w:w="3060" w:type="dxa"/>
          </w:tcPr>
          <w:p w14:paraId="33F97DFA" w14:textId="77777777" w:rsidR="00011C11" w:rsidRPr="002C5413" w:rsidRDefault="00011C11" w:rsidP="00810E44">
            <w:pPr>
              <w:spacing w:after="0" w:line="240" w:lineRule="auto"/>
              <w:rPr>
                <w:rFonts w:ascii="Verdana" w:hAnsi="Verdana"/>
                <w:sz w:val="20"/>
                <w:szCs w:val="20"/>
              </w:rPr>
            </w:pPr>
          </w:p>
        </w:tc>
      </w:tr>
      <w:tr w:rsidR="00011C11" w:rsidRPr="004C2F5C" w14:paraId="3F6EB2A8" w14:textId="77777777" w:rsidTr="00011C11">
        <w:trPr>
          <w:trHeight w:val="305"/>
        </w:trPr>
        <w:tc>
          <w:tcPr>
            <w:tcW w:w="2405" w:type="dxa"/>
          </w:tcPr>
          <w:p w14:paraId="37DB15AC"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Waste reduction</w:t>
            </w:r>
          </w:p>
        </w:tc>
        <w:tc>
          <w:tcPr>
            <w:tcW w:w="1843" w:type="dxa"/>
          </w:tcPr>
          <w:p w14:paraId="6ADB27D8"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 xml:space="preserve">Head of Operations </w:t>
            </w:r>
          </w:p>
        </w:tc>
        <w:tc>
          <w:tcPr>
            <w:tcW w:w="1701" w:type="dxa"/>
          </w:tcPr>
          <w:p w14:paraId="74948ACB" w14:textId="77777777" w:rsidR="00011C11" w:rsidRPr="002C5413" w:rsidRDefault="00011C11" w:rsidP="00810E44">
            <w:pPr>
              <w:spacing w:after="0" w:line="240" w:lineRule="auto"/>
              <w:rPr>
                <w:rFonts w:ascii="Verdana" w:hAnsi="Verdana"/>
                <w:sz w:val="20"/>
                <w:szCs w:val="20"/>
              </w:rPr>
            </w:pPr>
            <w:r w:rsidRPr="002C5413">
              <w:rPr>
                <w:rFonts w:ascii="Verdana" w:hAnsi="Verdana"/>
                <w:sz w:val="20"/>
                <w:szCs w:val="20"/>
              </w:rPr>
              <w:t>Q4 2024</w:t>
            </w:r>
          </w:p>
        </w:tc>
        <w:tc>
          <w:tcPr>
            <w:tcW w:w="6379" w:type="dxa"/>
          </w:tcPr>
          <w:p w14:paraId="019D7B5F" w14:textId="769B609C" w:rsidR="00011C11" w:rsidRPr="002C5413" w:rsidRDefault="00011C11" w:rsidP="00810E44">
            <w:pPr>
              <w:spacing w:after="0" w:line="240" w:lineRule="auto"/>
              <w:rPr>
                <w:rFonts w:ascii="Verdana" w:hAnsi="Verdana"/>
                <w:sz w:val="20"/>
                <w:szCs w:val="20"/>
              </w:rPr>
            </w:pPr>
            <w:r w:rsidRPr="002C5413">
              <w:rPr>
                <w:rFonts w:ascii="Verdana" w:hAnsi="Verdana" w:cs="Arial"/>
                <w:color w:val="000000"/>
                <w:sz w:val="20"/>
                <w:szCs w:val="20"/>
              </w:rPr>
              <w:t>Continue to work to minimise waste generated by our activities as far as possible, maintaining and improving levels of recycling, reuse &amp; recovery and continue to operate on a zero waste to landfill basis.  Report on waste statistics</w:t>
            </w:r>
            <w:r w:rsidR="002C5413">
              <w:rPr>
                <w:rFonts w:ascii="Verdana" w:hAnsi="Verdana" w:cs="Arial"/>
                <w:color w:val="000000"/>
                <w:sz w:val="20"/>
                <w:szCs w:val="20"/>
              </w:rPr>
              <w:t>.</w:t>
            </w:r>
            <w:r w:rsidRPr="002C5413">
              <w:rPr>
                <w:rFonts w:ascii="Verdana" w:hAnsi="Verdana" w:cs="Arial"/>
                <w:color w:val="000000"/>
                <w:sz w:val="20"/>
                <w:szCs w:val="20"/>
              </w:rPr>
              <w:t xml:space="preserve"> </w:t>
            </w:r>
          </w:p>
        </w:tc>
        <w:tc>
          <w:tcPr>
            <w:tcW w:w="3060" w:type="dxa"/>
          </w:tcPr>
          <w:p w14:paraId="1192951A" w14:textId="77777777" w:rsidR="00011C11" w:rsidRPr="002C5413" w:rsidRDefault="00011C11" w:rsidP="00810E44">
            <w:pPr>
              <w:spacing w:after="0" w:line="240" w:lineRule="auto"/>
              <w:rPr>
                <w:rFonts w:ascii="Verdana" w:hAnsi="Verdana"/>
                <w:sz w:val="20"/>
                <w:szCs w:val="20"/>
              </w:rPr>
            </w:pPr>
          </w:p>
        </w:tc>
      </w:tr>
    </w:tbl>
    <w:p w14:paraId="73F3F78A" w14:textId="1DFD4563" w:rsidR="00011C11" w:rsidRPr="007B77BA" w:rsidRDefault="007B77BA" w:rsidP="00011C11">
      <w:pPr>
        <w:tabs>
          <w:tab w:val="left" w:pos="2728"/>
        </w:tabs>
        <w:rPr>
          <w:rFonts w:ascii="Verdana" w:hAnsi="Verdana"/>
          <w:color w:val="538135" w:themeColor="accent6" w:themeShade="BF"/>
          <w:sz w:val="19"/>
          <w:szCs w:val="19"/>
        </w:rPr>
      </w:pPr>
      <w:r>
        <w:rPr>
          <w:rFonts w:ascii="Verdana" w:hAnsi="Verdana"/>
          <w:color w:val="538135" w:themeColor="accent6" w:themeShade="BF"/>
          <w:sz w:val="19"/>
          <w:szCs w:val="19"/>
        </w:rPr>
        <w:t>NOTE:  Green Travel Plan being investigated/</w:t>
      </w:r>
      <w:r w:rsidR="007677FD">
        <w:rPr>
          <w:rFonts w:ascii="Verdana" w:hAnsi="Verdana"/>
          <w:color w:val="538135" w:themeColor="accent6" w:themeShade="BF"/>
          <w:sz w:val="19"/>
          <w:szCs w:val="19"/>
        </w:rPr>
        <w:t>i</w:t>
      </w:r>
      <w:r>
        <w:rPr>
          <w:rFonts w:ascii="Verdana" w:hAnsi="Verdana"/>
          <w:color w:val="538135" w:themeColor="accent6" w:themeShade="BF"/>
          <w:sz w:val="19"/>
          <w:szCs w:val="19"/>
        </w:rPr>
        <w:t>mplemented 2024 - 2025</w:t>
      </w:r>
    </w:p>
    <w:p w14:paraId="40A3B1F1" w14:textId="77777777" w:rsidR="00DC68DF" w:rsidRPr="003F7877" w:rsidRDefault="00DC68DF" w:rsidP="009A0641">
      <w:pPr>
        <w:spacing w:after="0" w:line="240" w:lineRule="auto"/>
        <w:rPr>
          <w:rFonts w:ascii="Verdana" w:hAnsi="Verdana"/>
          <w:sz w:val="19"/>
          <w:szCs w:val="19"/>
        </w:rPr>
      </w:pPr>
    </w:p>
    <w:sectPr w:rsidR="00DC68DF" w:rsidRPr="003F7877" w:rsidSect="00D67AD9">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BA1AC" w14:textId="77777777" w:rsidR="007B252D" w:rsidRDefault="007B252D" w:rsidP="000776DA">
      <w:pPr>
        <w:spacing w:after="0" w:line="240" w:lineRule="auto"/>
      </w:pPr>
      <w:r>
        <w:separator/>
      </w:r>
    </w:p>
  </w:endnote>
  <w:endnote w:type="continuationSeparator" w:id="0">
    <w:p w14:paraId="29D943FD" w14:textId="77777777" w:rsidR="007B252D" w:rsidRDefault="007B252D" w:rsidP="0007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TFa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E8F3E" w14:textId="77777777" w:rsidR="007B252D" w:rsidRDefault="007B252D" w:rsidP="000776DA">
      <w:pPr>
        <w:spacing w:after="0" w:line="240" w:lineRule="auto"/>
      </w:pPr>
      <w:r>
        <w:separator/>
      </w:r>
    </w:p>
  </w:footnote>
  <w:footnote w:type="continuationSeparator" w:id="0">
    <w:p w14:paraId="6A91D0D1" w14:textId="77777777" w:rsidR="007B252D" w:rsidRDefault="007B252D" w:rsidP="0007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4226" w14:textId="77777777" w:rsidR="00011C11" w:rsidRDefault="007677FD">
    <w:pPr>
      <w:pStyle w:val="Header"/>
    </w:pPr>
    <w:r>
      <w:rPr>
        <w:noProof/>
      </w:rPr>
      <w:pict w14:anchorId="4332E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7.2pt;height:159.05pt;rotation:315;z-index:-25165824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814A" w14:textId="33BE0E7B" w:rsidR="00011C11" w:rsidRDefault="001742AC" w:rsidP="00011C11">
    <w:pPr>
      <w:pStyle w:val="Header"/>
    </w:pPr>
    <w:bookmarkStart w:id="1" w:name="_Toc1565642"/>
    <w:bookmarkStart w:id="2" w:name="_Toc12283007"/>
    <w:r>
      <w:rPr>
        <w:rFonts w:ascii="Verdana" w:hAnsi="Verdana"/>
        <w:noProof/>
        <w:sz w:val="32"/>
        <w:szCs w:val="32"/>
        <w:lang w:eastAsia="en-GB"/>
      </w:rPr>
      <w:drawing>
        <wp:anchor distT="0" distB="0" distL="114300" distR="114300" simplePos="0" relativeHeight="251657216" behindDoc="0" locked="0" layoutInCell="1" allowOverlap="1" wp14:anchorId="1D3E64AB" wp14:editId="71742040">
          <wp:simplePos x="0" y="0"/>
          <wp:positionH relativeFrom="margin">
            <wp:posOffset>4667250</wp:posOffset>
          </wp:positionH>
          <wp:positionV relativeFrom="topMargin">
            <wp:posOffset>76200</wp:posOffset>
          </wp:positionV>
          <wp:extent cx="1598722" cy="1257300"/>
          <wp:effectExtent l="0" t="0" r="1905" b="0"/>
          <wp:wrapNone/>
          <wp:docPr id="1158923996" name="Picture 1158923996"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23996" name="Picture 1158923996" descr="A logo for a museu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0202" cy="1266328"/>
                  </a:xfrm>
                  <a:prstGeom prst="rect">
                    <a:avLst/>
                  </a:prstGeom>
                </pic:spPr>
              </pic:pic>
            </a:graphicData>
          </a:graphic>
          <wp14:sizeRelH relativeFrom="page">
            <wp14:pctWidth>0</wp14:pctWidth>
          </wp14:sizeRelH>
          <wp14:sizeRelV relativeFrom="page">
            <wp14:pctHeight>0</wp14:pctHeight>
          </wp14:sizeRelV>
        </wp:anchor>
      </w:drawing>
    </w:r>
    <w:bookmarkEnd w:id="1"/>
    <w:bookmarkEnd w:id="2"/>
  </w:p>
  <w:p w14:paraId="276FBFF3" w14:textId="527CF738" w:rsidR="00011C11" w:rsidRDefault="00011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E9F69" w14:textId="43AACC87" w:rsidR="004224F8" w:rsidRDefault="00422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4CCD"/>
    <w:multiLevelType w:val="hybridMultilevel"/>
    <w:tmpl w:val="7BB08DA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075D1"/>
    <w:multiLevelType w:val="hybridMultilevel"/>
    <w:tmpl w:val="04CEAD2C"/>
    <w:lvl w:ilvl="0" w:tplc="908CDD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B4D88"/>
    <w:multiLevelType w:val="hybridMultilevel"/>
    <w:tmpl w:val="21226FD2"/>
    <w:lvl w:ilvl="0" w:tplc="38265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35831"/>
    <w:multiLevelType w:val="hybridMultilevel"/>
    <w:tmpl w:val="B6D4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E741B"/>
    <w:multiLevelType w:val="hybridMultilevel"/>
    <w:tmpl w:val="F18C1872"/>
    <w:lvl w:ilvl="0" w:tplc="38265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377A3"/>
    <w:multiLevelType w:val="hybridMultilevel"/>
    <w:tmpl w:val="136EE7C2"/>
    <w:lvl w:ilvl="0" w:tplc="908CDD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57487"/>
    <w:multiLevelType w:val="hybridMultilevel"/>
    <w:tmpl w:val="7ACA020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B350B"/>
    <w:multiLevelType w:val="hybridMultilevel"/>
    <w:tmpl w:val="AC608106"/>
    <w:lvl w:ilvl="0" w:tplc="908CDDC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266352"/>
    <w:multiLevelType w:val="hybridMultilevel"/>
    <w:tmpl w:val="2982C8D4"/>
    <w:lvl w:ilvl="0" w:tplc="908CDD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6604A"/>
    <w:multiLevelType w:val="hybridMultilevel"/>
    <w:tmpl w:val="C5C2291C"/>
    <w:lvl w:ilvl="0" w:tplc="908CDD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70766"/>
    <w:multiLevelType w:val="hybridMultilevel"/>
    <w:tmpl w:val="1212AF0C"/>
    <w:lvl w:ilvl="0" w:tplc="908CDD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C45A1"/>
    <w:multiLevelType w:val="hybridMultilevel"/>
    <w:tmpl w:val="DF3C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A12A4"/>
    <w:multiLevelType w:val="hybridMultilevel"/>
    <w:tmpl w:val="C2DA9FC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D64F4"/>
    <w:multiLevelType w:val="hybridMultilevel"/>
    <w:tmpl w:val="0D7E1488"/>
    <w:lvl w:ilvl="0" w:tplc="908CDD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530C3"/>
    <w:multiLevelType w:val="hybridMultilevel"/>
    <w:tmpl w:val="E35E2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AA2846"/>
    <w:multiLevelType w:val="hybridMultilevel"/>
    <w:tmpl w:val="78AA813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AE718B"/>
    <w:multiLevelType w:val="hybridMultilevel"/>
    <w:tmpl w:val="030C1BF6"/>
    <w:lvl w:ilvl="0" w:tplc="908CDD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049043">
    <w:abstractNumId w:val="11"/>
  </w:num>
  <w:num w:numId="2" w16cid:durableId="753860788">
    <w:abstractNumId w:val="3"/>
  </w:num>
  <w:num w:numId="3" w16cid:durableId="1698240596">
    <w:abstractNumId w:val="7"/>
  </w:num>
  <w:num w:numId="4" w16cid:durableId="884220167">
    <w:abstractNumId w:val="13"/>
  </w:num>
  <w:num w:numId="5" w16cid:durableId="1107847476">
    <w:abstractNumId w:val="5"/>
  </w:num>
  <w:num w:numId="6" w16cid:durableId="1836601814">
    <w:abstractNumId w:val="8"/>
  </w:num>
  <w:num w:numId="7" w16cid:durableId="1815026496">
    <w:abstractNumId w:val="16"/>
  </w:num>
  <w:num w:numId="8" w16cid:durableId="2062753208">
    <w:abstractNumId w:val="10"/>
  </w:num>
  <w:num w:numId="9" w16cid:durableId="1503279143">
    <w:abstractNumId w:val="9"/>
  </w:num>
  <w:num w:numId="10" w16cid:durableId="380403602">
    <w:abstractNumId w:val="15"/>
  </w:num>
  <w:num w:numId="11" w16cid:durableId="651174414">
    <w:abstractNumId w:val="1"/>
  </w:num>
  <w:num w:numId="12" w16cid:durableId="2032485207">
    <w:abstractNumId w:val="6"/>
  </w:num>
  <w:num w:numId="13" w16cid:durableId="198471807">
    <w:abstractNumId w:val="0"/>
  </w:num>
  <w:num w:numId="14" w16cid:durableId="22632726">
    <w:abstractNumId w:val="14"/>
  </w:num>
  <w:num w:numId="15" w16cid:durableId="1577016541">
    <w:abstractNumId w:val="12"/>
  </w:num>
  <w:num w:numId="16" w16cid:durableId="1826387231">
    <w:abstractNumId w:val="2"/>
  </w:num>
  <w:num w:numId="17" w16cid:durableId="669599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01"/>
    <w:rsid w:val="00011C11"/>
    <w:rsid w:val="00015ADC"/>
    <w:rsid w:val="00016ACD"/>
    <w:rsid w:val="0003096C"/>
    <w:rsid w:val="00033E50"/>
    <w:rsid w:val="00047D5F"/>
    <w:rsid w:val="0005681C"/>
    <w:rsid w:val="00072F07"/>
    <w:rsid w:val="000776DA"/>
    <w:rsid w:val="000A0627"/>
    <w:rsid w:val="000A6CA7"/>
    <w:rsid w:val="000A6D38"/>
    <w:rsid w:val="000B2531"/>
    <w:rsid w:val="000B65A4"/>
    <w:rsid w:val="000D76C6"/>
    <w:rsid w:val="000E0F6B"/>
    <w:rsid w:val="000E6AC6"/>
    <w:rsid w:val="000F2A48"/>
    <w:rsid w:val="000F2B98"/>
    <w:rsid w:val="00111564"/>
    <w:rsid w:val="00137348"/>
    <w:rsid w:val="001742AC"/>
    <w:rsid w:val="001919DD"/>
    <w:rsid w:val="00191A4F"/>
    <w:rsid w:val="001B4886"/>
    <w:rsid w:val="001E5C4B"/>
    <w:rsid w:val="001F4A72"/>
    <w:rsid w:val="00206E23"/>
    <w:rsid w:val="002255EE"/>
    <w:rsid w:val="00252ED4"/>
    <w:rsid w:val="00270E65"/>
    <w:rsid w:val="00274422"/>
    <w:rsid w:val="002846EB"/>
    <w:rsid w:val="00292EDF"/>
    <w:rsid w:val="00293082"/>
    <w:rsid w:val="002A12D7"/>
    <w:rsid w:val="002A7280"/>
    <w:rsid w:val="002B6E09"/>
    <w:rsid w:val="002C5413"/>
    <w:rsid w:val="002C693C"/>
    <w:rsid w:val="002E3909"/>
    <w:rsid w:val="002F22D6"/>
    <w:rsid w:val="00300A99"/>
    <w:rsid w:val="00303E26"/>
    <w:rsid w:val="0032237A"/>
    <w:rsid w:val="00325415"/>
    <w:rsid w:val="003255B1"/>
    <w:rsid w:val="003302E7"/>
    <w:rsid w:val="00346C3F"/>
    <w:rsid w:val="00366190"/>
    <w:rsid w:val="00366CD6"/>
    <w:rsid w:val="00370802"/>
    <w:rsid w:val="0037253B"/>
    <w:rsid w:val="003735E5"/>
    <w:rsid w:val="00373D10"/>
    <w:rsid w:val="00374E59"/>
    <w:rsid w:val="00386FF5"/>
    <w:rsid w:val="0039081A"/>
    <w:rsid w:val="00393A46"/>
    <w:rsid w:val="00396DCE"/>
    <w:rsid w:val="003A3513"/>
    <w:rsid w:val="003F4B04"/>
    <w:rsid w:val="003F7877"/>
    <w:rsid w:val="00417F60"/>
    <w:rsid w:val="004224F8"/>
    <w:rsid w:val="00434517"/>
    <w:rsid w:val="00460D78"/>
    <w:rsid w:val="0046195C"/>
    <w:rsid w:val="00463288"/>
    <w:rsid w:val="0047213E"/>
    <w:rsid w:val="00477C4B"/>
    <w:rsid w:val="004A1FDB"/>
    <w:rsid w:val="004D0FE7"/>
    <w:rsid w:val="004E50B8"/>
    <w:rsid w:val="004F0ECD"/>
    <w:rsid w:val="00522E88"/>
    <w:rsid w:val="005241C1"/>
    <w:rsid w:val="0052634D"/>
    <w:rsid w:val="00542870"/>
    <w:rsid w:val="0056389D"/>
    <w:rsid w:val="00566366"/>
    <w:rsid w:val="0059721F"/>
    <w:rsid w:val="005A3A33"/>
    <w:rsid w:val="005C342D"/>
    <w:rsid w:val="005C4421"/>
    <w:rsid w:val="005C5CBB"/>
    <w:rsid w:val="005E013E"/>
    <w:rsid w:val="005F0294"/>
    <w:rsid w:val="00622D2A"/>
    <w:rsid w:val="00631EF4"/>
    <w:rsid w:val="00636CB0"/>
    <w:rsid w:val="00637223"/>
    <w:rsid w:val="00640151"/>
    <w:rsid w:val="006612E7"/>
    <w:rsid w:val="00677D6C"/>
    <w:rsid w:val="0068106D"/>
    <w:rsid w:val="006829B4"/>
    <w:rsid w:val="006874E1"/>
    <w:rsid w:val="006A76E2"/>
    <w:rsid w:val="006C7075"/>
    <w:rsid w:val="00756939"/>
    <w:rsid w:val="00765E4F"/>
    <w:rsid w:val="007677FD"/>
    <w:rsid w:val="007951BB"/>
    <w:rsid w:val="007B252D"/>
    <w:rsid w:val="007B47B4"/>
    <w:rsid w:val="007B77BA"/>
    <w:rsid w:val="007E29A7"/>
    <w:rsid w:val="007E7DB1"/>
    <w:rsid w:val="008031C7"/>
    <w:rsid w:val="00811361"/>
    <w:rsid w:val="00824E51"/>
    <w:rsid w:val="00834C80"/>
    <w:rsid w:val="00852B11"/>
    <w:rsid w:val="00861787"/>
    <w:rsid w:val="00862CBB"/>
    <w:rsid w:val="00866748"/>
    <w:rsid w:val="0087073A"/>
    <w:rsid w:val="00884CB9"/>
    <w:rsid w:val="00886FE3"/>
    <w:rsid w:val="008A7F49"/>
    <w:rsid w:val="008B2A03"/>
    <w:rsid w:val="008B712F"/>
    <w:rsid w:val="008C3846"/>
    <w:rsid w:val="008D5A72"/>
    <w:rsid w:val="008E24FC"/>
    <w:rsid w:val="008E42D9"/>
    <w:rsid w:val="00914AF5"/>
    <w:rsid w:val="00915025"/>
    <w:rsid w:val="00923B17"/>
    <w:rsid w:val="00932C4C"/>
    <w:rsid w:val="00996506"/>
    <w:rsid w:val="009A0641"/>
    <w:rsid w:val="009A5ECB"/>
    <w:rsid w:val="009B7F7E"/>
    <w:rsid w:val="009C6E23"/>
    <w:rsid w:val="009E680D"/>
    <w:rsid w:val="009E7BEE"/>
    <w:rsid w:val="009F51E0"/>
    <w:rsid w:val="00A10DFF"/>
    <w:rsid w:val="00A15DAA"/>
    <w:rsid w:val="00A318D3"/>
    <w:rsid w:val="00A4614F"/>
    <w:rsid w:val="00A56DF2"/>
    <w:rsid w:val="00A62171"/>
    <w:rsid w:val="00A72C14"/>
    <w:rsid w:val="00A85F89"/>
    <w:rsid w:val="00AA4670"/>
    <w:rsid w:val="00AC25AC"/>
    <w:rsid w:val="00AD7D18"/>
    <w:rsid w:val="00AE45B4"/>
    <w:rsid w:val="00B5198C"/>
    <w:rsid w:val="00B56D7E"/>
    <w:rsid w:val="00B579E6"/>
    <w:rsid w:val="00B650FB"/>
    <w:rsid w:val="00B765F6"/>
    <w:rsid w:val="00BA3811"/>
    <w:rsid w:val="00BA59B9"/>
    <w:rsid w:val="00BC107A"/>
    <w:rsid w:val="00BC1DE2"/>
    <w:rsid w:val="00BC2C4D"/>
    <w:rsid w:val="00BC4F27"/>
    <w:rsid w:val="00BD6B70"/>
    <w:rsid w:val="00BE70B2"/>
    <w:rsid w:val="00BE7E68"/>
    <w:rsid w:val="00BF1C05"/>
    <w:rsid w:val="00C03FE9"/>
    <w:rsid w:val="00C3324E"/>
    <w:rsid w:val="00C3377F"/>
    <w:rsid w:val="00C345F8"/>
    <w:rsid w:val="00C44820"/>
    <w:rsid w:val="00C67E78"/>
    <w:rsid w:val="00C96801"/>
    <w:rsid w:val="00CA5AD1"/>
    <w:rsid w:val="00CB7B4F"/>
    <w:rsid w:val="00CC3E9B"/>
    <w:rsid w:val="00D12B75"/>
    <w:rsid w:val="00D358C7"/>
    <w:rsid w:val="00D41B8D"/>
    <w:rsid w:val="00D67AD9"/>
    <w:rsid w:val="00D67ADF"/>
    <w:rsid w:val="00D81982"/>
    <w:rsid w:val="00D91EFA"/>
    <w:rsid w:val="00D9535C"/>
    <w:rsid w:val="00DC36BA"/>
    <w:rsid w:val="00DC68DF"/>
    <w:rsid w:val="00DD0CBB"/>
    <w:rsid w:val="00DD213C"/>
    <w:rsid w:val="00DE781A"/>
    <w:rsid w:val="00DF68B1"/>
    <w:rsid w:val="00E15215"/>
    <w:rsid w:val="00E26E8C"/>
    <w:rsid w:val="00E40821"/>
    <w:rsid w:val="00E45B65"/>
    <w:rsid w:val="00E518DA"/>
    <w:rsid w:val="00E61347"/>
    <w:rsid w:val="00E922B8"/>
    <w:rsid w:val="00EB5EE6"/>
    <w:rsid w:val="00ED062E"/>
    <w:rsid w:val="00ED10D1"/>
    <w:rsid w:val="00ED3C3D"/>
    <w:rsid w:val="00EF21AA"/>
    <w:rsid w:val="00EF5015"/>
    <w:rsid w:val="00EF641B"/>
    <w:rsid w:val="00F01EDB"/>
    <w:rsid w:val="00F0266A"/>
    <w:rsid w:val="00F629C0"/>
    <w:rsid w:val="00F675CF"/>
    <w:rsid w:val="00F720BD"/>
    <w:rsid w:val="00F7233E"/>
    <w:rsid w:val="00F77644"/>
    <w:rsid w:val="00F95006"/>
    <w:rsid w:val="00FA015D"/>
    <w:rsid w:val="00FA456D"/>
    <w:rsid w:val="00FA6672"/>
    <w:rsid w:val="00FD2930"/>
    <w:rsid w:val="00FE6834"/>
    <w:rsid w:val="00FF68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2C580"/>
  <w15:chartTrackingRefBased/>
  <w15:docId w15:val="{78386E90-72C6-4738-810A-F8346FF6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3D"/>
    <w:pPr>
      <w:spacing w:after="200" w:line="276" w:lineRule="auto"/>
    </w:pPr>
    <w:rPr>
      <w:rFonts w:ascii="Arial" w:eastAsia="Calibri" w:hAnsi="Arial" w:cs="Times New Roman"/>
    </w:rPr>
  </w:style>
  <w:style w:type="paragraph" w:styleId="Heading2">
    <w:name w:val="heading 2"/>
    <w:basedOn w:val="Normal"/>
    <w:next w:val="Normal"/>
    <w:link w:val="Heading2Char"/>
    <w:uiPriority w:val="9"/>
    <w:unhideWhenUsed/>
    <w:qFormat/>
    <w:rsid w:val="00ED3C3D"/>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C3D"/>
    <w:rPr>
      <w:rFonts w:ascii="Arial" w:eastAsia="Times New Roman" w:hAnsi="Arial" w:cs="Times New Roman"/>
      <w:b/>
      <w:bCs/>
      <w:sz w:val="26"/>
      <w:szCs w:val="26"/>
    </w:rPr>
  </w:style>
  <w:style w:type="paragraph" w:styleId="ListParagraph">
    <w:name w:val="List Paragraph"/>
    <w:basedOn w:val="Normal"/>
    <w:uiPriority w:val="34"/>
    <w:qFormat/>
    <w:rsid w:val="00A62171"/>
    <w:pPr>
      <w:ind w:left="720"/>
      <w:contextualSpacing/>
    </w:pPr>
  </w:style>
  <w:style w:type="paragraph" w:styleId="BalloonText">
    <w:name w:val="Balloon Text"/>
    <w:basedOn w:val="Normal"/>
    <w:link w:val="BalloonTextChar"/>
    <w:uiPriority w:val="99"/>
    <w:semiHidden/>
    <w:unhideWhenUsed/>
    <w:rsid w:val="000B6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A4"/>
    <w:rPr>
      <w:rFonts w:ascii="Segoe UI" w:eastAsia="Calibri" w:hAnsi="Segoe UI" w:cs="Segoe UI"/>
      <w:sz w:val="18"/>
      <w:szCs w:val="18"/>
    </w:rPr>
  </w:style>
  <w:style w:type="paragraph" w:styleId="Header">
    <w:name w:val="header"/>
    <w:basedOn w:val="Normal"/>
    <w:link w:val="HeaderChar"/>
    <w:uiPriority w:val="99"/>
    <w:unhideWhenUsed/>
    <w:rsid w:val="00077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6DA"/>
    <w:rPr>
      <w:rFonts w:ascii="Arial" w:eastAsia="Calibri" w:hAnsi="Arial" w:cs="Times New Roman"/>
    </w:rPr>
  </w:style>
  <w:style w:type="paragraph" w:styleId="Footer">
    <w:name w:val="footer"/>
    <w:basedOn w:val="Normal"/>
    <w:link w:val="FooterChar"/>
    <w:uiPriority w:val="99"/>
    <w:unhideWhenUsed/>
    <w:rsid w:val="00077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6DA"/>
    <w:rPr>
      <w:rFonts w:ascii="Arial" w:eastAsia="Calibri" w:hAnsi="Arial" w:cs="Times New Roman"/>
    </w:rPr>
  </w:style>
  <w:style w:type="table" w:styleId="TableGrid">
    <w:name w:val="Table Grid"/>
    <w:basedOn w:val="TableNormal"/>
    <w:uiPriority w:val="39"/>
    <w:rsid w:val="00DC68DF"/>
    <w:pPr>
      <w:spacing w:after="0" w:line="240" w:lineRule="auto"/>
    </w:pPr>
    <w:rPr>
      <w:rFonts w:ascii="Verdana" w:eastAsia="STFangsong" w:hAnsi="Verdan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560468">
      <w:bodyDiv w:val="1"/>
      <w:marLeft w:val="0"/>
      <w:marRight w:val="0"/>
      <w:marTop w:val="0"/>
      <w:marBottom w:val="0"/>
      <w:divBdr>
        <w:top w:val="none" w:sz="0" w:space="0" w:color="auto"/>
        <w:left w:val="none" w:sz="0" w:space="0" w:color="auto"/>
        <w:bottom w:val="none" w:sz="0" w:space="0" w:color="auto"/>
        <w:right w:val="none" w:sz="0" w:space="0" w:color="auto"/>
      </w:divBdr>
    </w:div>
    <w:div w:id="12856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7767E-DD9E-45BC-ABB2-6A79D549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Jaguar Land Rover</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Dobson</dc:creator>
  <cp:keywords/>
  <dc:description/>
  <cp:lastModifiedBy>Zoe Anderson</cp:lastModifiedBy>
  <cp:revision>6</cp:revision>
  <cp:lastPrinted>2020-11-25T10:31:00Z</cp:lastPrinted>
  <dcterms:created xsi:type="dcterms:W3CDTF">2024-08-06T12:54:00Z</dcterms:created>
  <dcterms:modified xsi:type="dcterms:W3CDTF">2024-11-05T10:02:00Z</dcterms:modified>
</cp:coreProperties>
</file>